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00" w:rsidRDefault="00591F00">
      <w:pPr>
        <w:rPr>
          <w:noProof/>
          <w:lang w:eastAsia="en-GB"/>
        </w:rPr>
      </w:pPr>
      <w:bookmarkStart w:id="0" w:name="_GoBack"/>
      <w:bookmarkEnd w:id="0"/>
      <w:r>
        <w:rPr>
          <w:noProof/>
          <w:lang w:eastAsia="en-GB"/>
        </w:rPr>
        <w:drawing>
          <wp:anchor distT="0" distB="0" distL="114300" distR="114300" simplePos="0" relativeHeight="251659264" behindDoc="0" locked="1" layoutInCell="1" allowOverlap="1" wp14:anchorId="790D12E2" wp14:editId="059A55E0">
            <wp:simplePos x="0" y="0"/>
            <wp:positionH relativeFrom="column">
              <wp:posOffset>51435</wp:posOffset>
            </wp:positionH>
            <wp:positionV relativeFrom="page">
              <wp:posOffset>885825</wp:posOffset>
            </wp:positionV>
            <wp:extent cx="5655310" cy="952500"/>
            <wp:effectExtent l="0" t="0" r="2540" b="0"/>
            <wp:wrapNone/>
            <wp:docPr id="4" name="Picture 4"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etterhead"/>
                    <pic:cNvPicPr>
                      <a:picLocks noChangeAspect="1" noChangeArrowheads="1"/>
                    </pic:cNvPicPr>
                  </pic:nvPicPr>
                  <pic:blipFill>
                    <a:blip r:embed="rId9">
                      <a:extLst>
                        <a:ext uri="{28A0092B-C50C-407E-A947-70E740481C1C}">
                          <a14:useLocalDpi xmlns:a14="http://schemas.microsoft.com/office/drawing/2010/main" val="0"/>
                        </a:ext>
                      </a:extLst>
                    </a:blip>
                    <a:srcRect l="29193"/>
                    <a:stretch>
                      <a:fillRect/>
                    </a:stretch>
                  </pic:blipFill>
                  <pic:spPr bwMode="auto">
                    <a:xfrm>
                      <a:off x="0" y="0"/>
                      <a:ext cx="565531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F00" w:rsidRDefault="00591F00">
      <w:pPr>
        <w:rPr>
          <w:noProof/>
          <w:lang w:eastAsia="en-GB"/>
        </w:rPr>
      </w:pPr>
    </w:p>
    <w:p w:rsidR="00591F00" w:rsidRDefault="00591F00"/>
    <w:p w:rsidR="00591F00" w:rsidRDefault="00591F00"/>
    <w:p w:rsidR="00591F00" w:rsidRDefault="00591F00"/>
    <w:p w:rsidR="00591F00" w:rsidRDefault="00591F00"/>
    <w:tbl>
      <w:tblPr>
        <w:tblW w:w="9007" w:type="dxa"/>
        <w:tblLayout w:type="fixed"/>
        <w:tblLook w:val="0000" w:firstRow="0" w:lastRow="0" w:firstColumn="0" w:lastColumn="0" w:noHBand="0" w:noVBand="0"/>
      </w:tblPr>
      <w:tblGrid>
        <w:gridCol w:w="3456"/>
        <w:gridCol w:w="202"/>
        <w:gridCol w:w="4852"/>
        <w:gridCol w:w="430"/>
        <w:gridCol w:w="67"/>
      </w:tblGrid>
      <w:tr w:rsidR="00591F00" w:rsidTr="00074EF4">
        <w:trPr>
          <w:trHeight w:val="652"/>
        </w:trPr>
        <w:tc>
          <w:tcPr>
            <w:tcW w:w="3658" w:type="dxa"/>
            <w:gridSpan w:val="2"/>
            <w:tcBorders>
              <w:bottom w:val="single" w:sz="18" w:space="0" w:color="auto"/>
            </w:tcBorders>
          </w:tcPr>
          <w:p w:rsidR="00591F00" w:rsidRPr="00B805DB" w:rsidRDefault="00591F00" w:rsidP="00D45D03">
            <w:pPr>
              <w:pStyle w:val="Infotext"/>
              <w:rPr>
                <w:rFonts w:ascii="Arial Black" w:hAnsi="Arial Black" w:cs="Arial"/>
                <w:sz w:val="36"/>
                <w:szCs w:val="36"/>
              </w:rPr>
            </w:pPr>
          </w:p>
        </w:tc>
        <w:tc>
          <w:tcPr>
            <w:tcW w:w="5349" w:type="dxa"/>
            <w:gridSpan w:val="3"/>
            <w:tcBorders>
              <w:bottom w:val="single" w:sz="18" w:space="0" w:color="auto"/>
            </w:tcBorders>
          </w:tcPr>
          <w:p w:rsidR="00591F00" w:rsidRPr="005E3A10" w:rsidRDefault="00591F00" w:rsidP="00D45D03">
            <w:pPr>
              <w:rPr>
                <w:rFonts w:ascii="Arial Black" w:hAnsi="Arial Black" w:cs="Arial"/>
                <w:szCs w:val="24"/>
              </w:rPr>
            </w:pPr>
          </w:p>
        </w:tc>
      </w:tr>
      <w:tr w:rsidR="00696FC4" w:rsidTr="00074EF4">
        <w:trPr>
          <w:gridAfter w:val="1"/>
          <w:wAfter w:w="67" w:type="dxa"/>
          <w:trHeight w:val="900"/>
        </w:trPr>
        <w:tc>
          <w:tcPr>
            <w:tcW w:w="3456" w:type="dxa"/>
            <w:tcBorders>
              <w:bottom w:val="single" w:sz="18" w:space="0" w:color="auto"/>
            </w:tcBorders>
          </w:tcPr>
          <w:p w:rsidR="00696FC4" w:rsidRPr="00074EF4" w:rsidRDefault="00696FC4">
            <w:pPr>
              <w:pStyle w:val="Infotext"/>
              <w:rPr>
                <w:rFonts w:ascii="Arial Black" w:hAnsi="Arial Black"/>
                <w:color w:val="808080" w:themeColor="background1" w:themeShade="80"/>
                <w:sz w:val="36"/>
                <w:szCs w:val="36"/>
              </w:rPr>
            </w:pPr>
            <w:r w:rsidRPr="00074EF4">
              <w:rPr>
                <w:rFonts w:ascii="Arial Black" w:hAnsi="Arial Black"/>
                <w:color w:val="808080" w:themeColor="background1" w:themeShade="80"/>
                <w:sz w:val="36"/>
                <w:szCs w:val="36"/>
              </w:rPr>
              <w:t>REPORT FOR:</w:t>
            </w:r>
          </w:p>
          <w:p w:rsidR="00696FC4" w:rsidRDefault="00696FC4">
            <w:pPr>
              <w:pStyle w:val="Infotext"/>
              <w:rPr>
                <w:rFonts w:ascii="Arial Black" w:hAnsi="Arial Black" w:cs="Arial"/>
                <w:sz w:val="36"/>
                <w:szCs w:val="36"/>
              </w:rPr>
            </w:pPr>
          </w:p>
        </w:tc>
        <w:tc>
          <w:tcPr>
            <w:tcW w:w="5484" w:type="dxa"/>
            <w:gridSpan w:val="3"/>
            <w:tcBorders>
              <w:bottom w:val="single" w:sz="18" w:space="0" w:color="auto"/>
            </w:tcBorders>
          </w:tcPr>
          <w:p w:rsidR="00696FC4" w:rsidRDefault="00696FC4">
            <w:pPr>
              <w:rPr>
                <w:rFonts w:ascii="Arial Black" w:hAnsi="Arial Black" w:cs="Arial"/>
                <w:sz w:val="36"/>
                <w:szCs w:val="36"/>
              </w:rPr>
            </w:pPr>
            <w:r>
              <w:rPr>
                <w:rFonts w:ascii="Arial Black" w:hAnsi="Arial Black" w:cs="Arial"/>
                <w:sz w:val="36"/>
                <w:szCs w:val="36"/>
              </w:rPr>
              <w:t>CABINET</w:t>
            </w:r>
          </w:p>
        </w:tc>
      </w:tr>
      <w:tr w:rsidR="00696FC4" w:rsidTr="00074EF4">
        <w:trPr>
          <w:gridAfter w:val="1"/>
          <w:wAfter w:w="67" w:type="dxa"/>
        </w:trPr>
        <w:tc>
          <w:tcPr>
            <w:tcW w:w="3456" w:type="dxa"/>
            <w:tcBorders>
              <w:top w:val="single" w:sz="18" w:space="0" w:color="auto"/>
            </w:tcBorders>
          </w:tcPr>
          <w:p w:rsidR="00696FC4" w:rsidRDefault="00696FC4">
            <w:pPr>
              <w:pStyle w:val="Infotext"/>
              <w:rPr>
                <w:rFonts w:ascii="Arial Black" w:hAnsi="Arial Black"/>
              </w:rPr>
            </w:pPr>
            <w:r>
              <w:rPr>
                <w:rFonts w:ascii="Arial Black" w:hAnsi="Arial Black"/>
              </w:rPr>
              <w:t>Date</w:t>
            </w:r>
            <w:r w:rsidR="00591F00">
              <w:rPr>
                <w:rFonts w:ascii="Arial Black" w:hAnsi="Arial Black"/>
              </w:rPr>
              <w:t xml:space="preserve"> of meeting</w:t>
            </w:r>
            <w:r>
              <w:rPr>
                <w:rFonts w:ascii="Arial Black" w:hAnsi="Arial Black"/>
              </w:rPr>
              <w:t>:</w:t>
            </w:r>
          </w:p>
          <w:p w:rsidR="00696FC4" w:rsidRDefault="00696FC4">
            <w:pPr>
              <w:pStyle w:val="Infotext"/>
              <w:rPr>
                <w:rFonts w:ascii="Arial Black" w:hAnsi="Arial Black" w:cs="Arial"/>
              </w:rPr>
            </w:pPr>
          </w:p>
        </w:tc>
        <w:tc>
          <w:tcPr>
            <w:tcW w:w="5484" w:type="dxa"/>
            <w:gridSpan w:val="3"/>
            <w:tcBorders>
              <w:top w:val="single" w:sz="18" w:space="0" w:color="auto"/>
            </w:tcBorders>
          </w:tcPr>
          <w:p w:rsidR="00696FC4" w:rsidRDefault="0008561D" w:rsidP="003B3607">
            <w:pPr>
              <w:rPr>
                <w:bCs/>
                <w:szCs w:val="24"/>
              </w:rPr>
            </w:pPr>
            <w:r>
              <w:rPr>
                <w:bCs/>
                <w:szCs w:val="24"/>
              </w:rPr>
              <w:t>16</w:t>
            </w:r>
            <w:r w:rsidR="00F91628">
              <w:rPr>
                <w:bCs/>
                <w:szCs w:val="24"/>
              </w:rPr>
              <w:t xml:space="preserve"> June</w:t>
            </w:r>
            <w:r w:rsidR="00CB7175">
              <w:rPr>
                <w:bCs/>
                <w:szCs w:val="24"/>
              </w:rPr>
              <w:t xml:space="preserve"> </w:t>
            </w:r>
            <w:r w:rsidR="00696FC4">
              <w:rPr>
                <w:bCs/>
                <w:szCs w:val="24"/>
              </w:rPr>
              <w:t>201</w:t>
            </w:r>
            <w:r>
              <w:rPr>
                <w:bCs/>
                <w:szCs w:val="24"/>
              </w:rPr>
              <w:t>6</w:t>
            </w:r>
          </w:p>
          <w:p w:rsidR="00591F00" w:rsidRDefault="00591F00" w:rsidP="003B3607">
            <w:pPr>
              <w:rPr>
                <w:bCs/>
                <w:szCs w:val="24"/>
              </w:rPr>
            </w:pPr>
          </w:p>
          <w:p w:rsidR="00EF3848" w:rsidRPr="00EF3848" w:rsidRDefault="00EF3848" w:rsidP="003B3607">
            <w:pPr>
              <w:rPr>
                <w:rFonts w:cs="Arial"/>
                <w:b/>
              </w:rPr>
            </w:pP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Subject:</w:t>
            </w:r>
          </w:p>
          <w:p w:rsidR="00696FC4" w:rsidRDefault="00696FC4">
            <w:pPr>
              <w:pStyle w:val="Infotext"/>
              <w:rPr>
                <w:rFonts w:ascii="Arial Black" w:hAnsi="Arial Black"/>
              </w:rPr>
            </w:pPr>
          </w:p>
        </w:tc>
        <w:tc>
          <w:tcPr>
            <w:tcW w:w="5484" w:type="dxa"/>
            <w:gridSpan w:val="3"/>
          </w:tcPr>
          <w:p w:rsidR="00696FC4" w:rsidRDefault="00F91628" w:rsidP="00BD50B5">
            <w:pPr>
              <w:rPr>
                <w:rFonts w:cs="Arial"/>
              </w:rPr>
            </w:pPr>
            <w:r>
              <w:rPr>
                <w:rFonts w:cs="Arial"/>
              </w:rPr>
              <w:t>Revenue and Capital Outturn 201</w:t>
            </w:r>
            <w:r w:rsidR="0008561D">
              <w:rPr>
                <w:rFonts w:cs="Arial"/>
              </w:rPr>
              <w:t>5</w:t>
            </w:r>
            <w:r>
              <w:rPr>
                <w:rFonts w:cs="Arial"/>
              </w:rPr>
              <w:t>-1</w:t>
            </w:r>
            <w:r w:rsidR="0008561D">
              <w:rPr>
                <w:rFonts w:cs="Arial"/>
              </w:rPr>
              <w:t>6</w:t>
            </w: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 xml:space="preserve">Key Decision:  </w:t>
            </w:r>
          </w:p>
        </w:tc>
        <w:tc>
          <w:tcPr>
            <w:tcW w:w="5484" w:type="dxa"/>
            <w:gridSpan w:val="3"/>
          </w:tcPr>
          <w:p w:rsidR="00696FC4" w:rsidRDefault="00696FC4">
            <w:pPr>
              <w:rPr>
                <w:bCs/>
                <w:szCs w:val="24"/>
              </w:rPr>
            </w:pPr>
            <w:r>
              <w:rPr>
                <w:bCs/>
                <w:szCs w:val="24"/>
              </w:rPr>
              <w:t>Yes</w:t>
            </w:r>
          </w:p>
          <w:p w:rsidR="00696FC4" w:rsidRDefault="00696FC4">
            <w:pPr>
              <w:rPr>
                <w:rFonts w:cs="Arial"/>
              </w:rPr>
            </w:pP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Responsible Officer:</w:t>
            </w:r>
          </w:p>
          <w:p w:rsidR="00696FC4" w:rsidRDefault="00696FC4">
            <w:pPr>
              <w:pStyle w:val="Infotext"/>
              <w:rPr>
                <w:rFonts w:ascii="Arial Black" w:hAnsi="Arial Black" w:cs="Arial"/>
              </w:rPr>
            </w:pPr>
          </w:p>
        </w:tc>
        <w:tc>
          <w:tcPr>
            <w:tcW w:w="5484" w:type="dxa"/>
            <w:gridSpan w:val="3"/>
          </w:tcPr>
          <w:p w:rsidR="00696FC4" w:rsidRDefault="0008561D" w:rsidP="00484862">
            <w:pPr>
              <w:rPr>
                <w:rFonts w:cs="Arial"/>
              </w:rPr>
            </w:pPr>
            <w:r>
              <w:rPr>
                <w:bCs/>
                <w:szCs w:val="24"/>
              </w:rPr>
              <w:t xml:space="preserve">Dawn Calvert, </w:t>
            </w:r>
            <w:r w:rsidR="00696FC4">
              <w:rPr>
                <w:bCs/>
                <w:szCs w:val="24"/>
              </w:rPr>
              <w:t xml:space="preserve">Director of </w:t>
            </w:r>
            <w:r w:rsidR="00F91628">
              <w:rPr>
                <w:bCs/>
                <w:szCs w:val="24"/>
              </w:rPr>
              <w:t xml:space="preserve">Finance </w:t>
            </w: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Portfolio Holder:</w:t>
            </w:r>
          </w:p>
          <w:p w:rsidR="00696FC4" w:rsidRDefault="00696FC4">
            <w:pPr>
              <w:pStyle w:val="Infotext"/>
              <w:rPr>
                <w:rFonts w:ascii="Arial Black" w:hAnsi="Arial Black" w:cs="Arial"/>
              </w:rPr>
            </w:pPr>
          </w:p>
        </w:tc>
        <w:tc>
          <w:tcPr>
            <w:tcW w:w="5484" w:type="dxa"/>
            <w:gridSpan w:val="3"/>
          </w:tcPr>
          <w:p w:rsidR="00696FC4" w:rsidRDefault="00142267" w:rsidP="00C36FA8">
            <w:pPr>
              <w:rPr>
                <w:rFonts w:cs="Arial"/>
              </w:rPr>
            </w:pPr>
            <w:r>
              <w:rPr>
                <w:bCs/>
                <w:szCs w:val="24"/>
              </w:rPr>
              <w:t xml:space="preserve">Councillor </w:t>
            </w:r>
            <w:r w:rsidR="00C36FA8">
              <w:rPr>
                <w:bCs/>
                <w:szCs w:val="24"/>
              </w:rPr>
              <w:t>Adam Swersky</w:t>
            </w:r>
            <w:r w:rsidR="007F4174">
              <w:rPr>
                <w:bCs/>
                <w:szCs w:val="24"/>
              </w:rPr>
              <w:t>, Portfolio Holder for Finance</w:t>
            </w:r>
            <w:r w:rsidR="002A42A3">
              <w:rPr>
                <w:bCs/>
                <w:szCs w:val="24"/>
              </w:rPr>
              <w:t xml:space="preserve"> and </w:t>
            </w:r>
            <w:r w:rsidR="00C36FA8">
              <w:rPr>
                <w:bCs/>
                <w:szCs w:val="24"/>
              </w:rPr>
              <w:t>Commerci</w:t>
            </w:r>
            <w:r w:rsidR="00395409">
              <w:rPr>
                <w:bCs/>
                <w:szCs w:val="24"/>
              </w:rPr>
              <w:t>a</w:t>
            </w:r>
            <w:r w:rsidR="00C36FA8">
              <w:rPr>
                <w:bCs/>
                <w:szCs w:val="24"/>
              </w:rPr>
              <w:t>lisation</w:t>
            </w: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Exempt:</w:t>
            </w:r>
          </w:p>
          <w:p w:rsidR="00696FC4" w:rsidRDefault="00696FC4">
            <w:pPr>
              <w:pStyle w:val="Infotext"/>
              <w:rPr>
                <w:rFonts w:ascii="Arial Black" w:hAnsi="Arial Black" w:cs="Arial"/>
              </w:rPr>
            </w:pPr>
          </w:p>
        </w:tc>
        <w:tc>
          <w:tcPr>
            <w:tcW w:w="5484" w:type="dxa"/>
            <w:gridSpan w:val="3"/>
          </w:tcPr>
          <w:p w:rsidR="00696FC4" w:rsidRDefault="00696FC4">
            <w:pPr>
              <w:rPr>
                <w:rFonts w:cs="Arial"/>
              </w:rPr>
            </w:pPr>
            <w:r>
              <w:rPr>
                <w:bCs/>
                <w:szCs w:val="24"/>
              </w:rPr>
              <w:t>No</w:t>
            </w:r>
            <w:r>
              <w:rPr>
                <w:rFonts w:cs="Arial"/>
              </w:rPr>
              <w:t xml:space="preserve"> </w:t>
            </w: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Decision subject to Call-in:</w:t>
            </w:r>
          </w:p>
          <w:p w:rsidR="00864EF6" w:rsidRDefault="00864EF6">
            <w:pPr>
              <w:pStyle w:val="Infotext"/>
              <w:rPr>
                <w:rFonts w:ascii="Arial Black" w:hAnsi="Arial Black" w:cs="Arial"/>
              </w:rPr>
            </w:pPr>
          </w:p>
        </w:tc>
        <w:tc>
          <w:tcPr>
            <w:tcW w:w="5484" w:type="dxa"/>
            <w:gridSpan w:val="3"/>
          </w:tcPr>
          <w:p w:rsidR="00696FC4" w:rsidRDefault="00696FC4">
            <w:pPr>
              <w:rPr>
                <w:rFonts w:cs="Arial"/>
              </w:rPr>
            </w:pPr>
            <w:r>
              <w:rPr>
                <w:bCs/>
                <w:szCs w:val="24"/>
              </w:rPr>
              <w:t>Yes</w:t>
            </w:r>
          </w:p>
        </w:tc>
      </w:tr>
      <w:tr w:rsidR="000A55D4" w:rsidTr="00074EF4">
        <w:trPr>
          <w:gridAfter w:val="2"/>
          <w:wAfter w:w="497" w:type="dxa"/>
        </w:trPr>
        <w:tc>
          <w:tcPr>
            <w:tcW w:w="3456" w:type="dxa"/>
          </w:tcPr>
          <w:p w:rsidR="000A55D4" w:rsidRDefault="000A55D4" w:rsidP="0048119F">
            <w:pPr>
              <w:pStyle w:val="Infotext"/>
              <w:rPr>
                <w:rFonts w:ascii="Arial Black" w:hAnsi="Arial Black" w:cs="Arial"/>
              </w:rPr>
            </w:pPr>
            <w:r>
              <w:rPr>
                <w:rFonts w:ascii="Arial Black" w:hAnsi="Arial Black" w:cs="Arial"/>
              </w:rPr>
              <w:t>Wards affected:</w:t>
            </w:r>
          </w:p>
          <w:p w:rsidR="000A55D4" w:rsidRPr="00C13A5F" w:rsidRDefault="000A55D4" w:rsidP="0048119F">
            <w:pPr>
              <w:pStyle w:val="Infotext"/>
              <w:rPr>
                <w:rFonts w:ascii="Arial Black" w:hAnsi="Arial Black" w:cs="Arial"/>
              </w:rPr>
            </w:pPr>
          </w:p>
        </w:tc>
        <w:tc>
          <w:tcPr>
            <w:tcW w:w="5054" w:type="dxa"/>
            <w:gridSpan w:val="2"/>
          </w:tcPr>
          <w:p w:rsidR="000A55D4" w:rsidRPr="00E06FC6" w:rsidRDefault="000A55D4" w:rsidP="00864EF6">
            <w:pPr>
              <w:pStyle w:val="Heading3"/>
              <w:rPr>
                <w:b w:val="0"/>
                <w:i w:val="0"/>
              </w:rPr>
            </w:pPr>
            <w:r>
              <w:rPr>
                <w:b w:val="0"/>
                <w:i w:val="0"/>
              </w:rPr>
              <w:t xml:space="preserve">All </w:t>
            </w: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Enclosures:</w:t>
            </w:r>
          </w:p>
          <w:p w:rsidR="00696FC4" w:rsidRDefault="00696FC4">
            <w:pPr>
              <w:pStyle w:val="Infotext"/>
              <w:rPr>
                <w:rFonts w:ascii="Arial Black" w:hAnsi="Arial Black" w:cs="Arial"/>
              </w:rPr>
            </w:pPr>
          </w:p>
        </w:tc>
        <w:tc>
          <w:tcPr>
            <w:tcW w:w="5484" w:type="dxa"/>
            <w:gridSpan w:val="3"/>
          </w:tcPr>
          <w:p w:rsidR="00696FC4" w:rsidRDefault="00696FC4">
            <w:pPr>
              <w:rPr>
                <w:rFonts w:cs="Arial"/>
              </w:rPr>
            </w:pPr>
            <w:r>
              <w:rPr>
                <w:rFonts w:cs="Arial"/>
              </w:rPr>
              <w:t xml:space="preserve">Appendix </w:t>
            </w:r>
            <w:r w:rsidR="00942F9C">
              <w:rPr>
                <w:rFonts w:cs="Arial"/>
              </w:rPr>
              <w:t>1</w:t>
            </w:r>
            <w:r>
              <w:rPr>
                <w:rFonts w:cs="Arial"/>
              </w:rPr>
              <w:t xml:space="preserve"> - </w:t>
            </w:r>
            <w:r w:rsidR="00950FEF">
              <w:rPr>
                <w:rFonts w:cs="Arial"/>
                <w:szCs w:val="24"/>
              </w:rPr>
              <w:t xml:space="preserve">Revenue Carry forward Schedule </w:t>
            </w:r>
          </w:p>
          <w:p w:rsidR="00696FC4" w:rsidRDefault="00B121F3">
            <w:pPr>
              <w:rPr>
                <w:rFonts w:cs="Arial"/>
                <w:szCs w:val="24"/>
              </w:rPr>
            </w:pPr>
            <w:r>
              <w:rPr>
                <w:rFonts w:cs="Arial"/>
                <w:szCs w:val="24"/>
              </w:rPr>
              <w:t xml:space="preserve">Appendix </w:t>
            </w:r>
            <w:r w:rsidR="00942F9C">
              <w:rPr>
                <w:rFonts w:cs="Arial"/>
                <w:szCs w:val="24"/>
              </w:rPr>
              <w:t>2</w:t>
            </w:r>
            <w:r>
              <w:rPr>
                <w:rFonts w:cs="Arial"/>
                <w:szCs w:val="24"/>
              </w:rPr>
              <w:t xml:space="preserve"> – </w:t>
            </w:r>
            <w:r w:rsidR="00950FEF">
              <w:rPr>
                <w:rFonts w:cs="Arial"/>
              </w:rPr>
              <w:t>Capital Monitoring</w:t>
            </w:r>
            <w:r w:rsidR="00950FEF" w:rsidDel="00950FEF">
              <w:rPr>
                <w:rFonts w:cs="Arial"/>
                <w:szCs w:val="24"/>
              </w:rPr>
              <w:t xml:space="preserve"> </w:t>
            </w:r>
          </w:p>
          <w:p w:rsidR="00436EBA" w:rsidRDefault="00436EBA">
            <w:pPr>
              <w:rPr>
                <w:rFonts w:cs="Arial"/>
                <w:szCs w:val="24"/>
              </w:rPr>
            </w:pPr>
            <w:r>
              <w:rPr>
                <w:rFonts w:cs="Arial"/>
                <w:szCs w:val="24"/>
              </w:rPr>
              <w:t>Appendix 3 – Reserves Movements 2015/16</w:t>
            </w:r>
          </w:p>
          <w:p w:rsidR="007F2DCB" w:rsidRDefault="007F2DCB">
            <w:pPr>
              <w:rPr>
                <w:rFonts w:cs="Arial"/>
                <w:szCs w:val="24"/>
              </w:rPr>
            </w:pPr>
            <w:r>
              <w:rPr>
                <w:rFonts w:cs="Arial"/>
                <w:szCs w:val="24"/>
              </w:rPr>
              <w:t xml:space="preserve">Appendix </w:t>
            </w:r>
            <w:r w:rsidR="00436EBA">
              <w:rPr>
                <w:rFonts w:cs="Arial"/>
                <w:szCs w:val="24"/>
              </w:rPr>
              <w:t>4</w:t>
            </w:r>
            <w:r>
              <w:rPr>
                <w:rFonts w:cs="Arial"/>
                <w:szCs w:val="24"/>
              </w:rPr>
              <w:t xml:space="preserve"> – </w:t>
            </w:r>
            <w:r w:rsidR="00950FEF">
              <w:rPr>
                <w:rFonts w:cs="Arial"/>
                <w:szCs w:val="24"/>
              </w:rPr>
              <w:t>H</w:t>
            </w:r>
            <w:r w:rsidR="00B46FD0">
              <w:rPr>
                <w:rFonts w:cs="Arial"/>
                <w:szCs w:val="24"/>
              </w:rPr>
              <w:t>RA Revenue Outturn</w:t>
            </w:r>
          </w:p>
          <w:p w:rsidR="008A1B85" w:rsidRDefault="008A1B85">
            <w:pPr>
              <w:rPr>
                <w:rFonts w:cs="Arial"/>
                <w:szCs w:val="24"/>
              </w:rPr>
            </w:pPr>
          </w:p>
        </w:tc>
      </w:tr>
    </w:tbl>
    <w:p w:rsidR="00696FC4" w:rsidRDefault="00696FC4">
      <w:pPr>
        <w:rPr>
          <w:rFonts w:cs="Arial"/>
          <w:color w:val="FF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96FC4" w:rsidTr="00484862">
        <w:tc>
          <w:tcPr>
            <w:tcW w:w="8897" w:type="dxa"/>
            <w:tcBorders>
              <w:top w:val="nil"/>
              <w:left w:val="nil"/>
              <w:right w:val="nil"/>
            </w:tcBorders>
          </w:tcPr>
          <w:p w:rsidR="00696FC4" w:rsidRDefault="00696FC4">
            <w:pPr>
              <w:pStyle w:val="Heading1"/>
              <w:ind w:right="-480"/>
            </w:pPr>
            <w:r>
              <w:t>Section 1 – Summary and Recommendations</w:t>
            </w:r>
          </w:p>
          <w:p w:rsidR="00696FC4" w:rsidRDefault="00696FC4">
            <w:pPr>
              <w:ind w:right="-480"/>
            </w:pPr>
          </w:p>
        </w:tc>
      </w:tr>
      <w:tr w:rsidR="00696FC4" w:rsidTr="00484862">
        <w:tc>
          <w:tcPr>
            <w:tcW w:w="8897" w:type="dxa"/>
          </w:tcPr>
          <w:p w:rsidR="000D5EBC" w:rsidRDefault="00696FC4">
            <w:pPr>
              <w:pStyle w:val="BodyText3"/>
              <w:jc w:val="left"/>
            </w:pPr>
            <w:r w:rsidRPr="0088360D">
              <w:t xml:space="preserve">This report sets out the Council’s revenue and capital </w:t>
            </w:r>
            <w:r w:rsidR="00F91628" w:rsidRPr="0088360D">
              <w:t>outturn</w:t>
            </w:r>
            <w:r w:rsidRPr="0088360D">
              <w:t xml:space="preserve"> position </w:t>
            </w:r>
            <w:r w:rsidR="00F91628" w:rsidRPr="0088360D">
              <w:t>for 201</w:t>
            </w:r>
            <w:r w:rsidR="0008561D" w:rsidRPr="0088360D">
              <w:t>5/16</w:t>
            </w:r>
            <w:r w:rsidR="00864EF6">
              <w:t>.</w:t>
            </w:r>
          </w:p>
          <w:p w:rsidR="00864EF6" w:rsidRPr="0088360D" w:rsidRDefault="00864EF6">
            <w:pPr>
              <w:pStyle w:val="BodyText3"/>
              <w:jc w:val="left"/>
            </w:pPr>
          </w:p>
          <w:p w:rsidR="00696FC4" w:rsidRPr="0088360D" w:rsidRDefault="00696FC4">
            <w:pPr>
              <w:pStyle w:val="BodyText3"/>
              <w:jc w:val="left"/>
              <w:rPr>
                <w:b/>
                <w:bCs/>
                <w:u w:val="single"/>
              </w:rPr>
            </w:pPr>
            <w:r w:rsidRPr="0088360D">
              <w:rPr>
                <w:b/>
                <w:bCs/>
                <w:u w:val="single"/>
              </w:rPr>
              <w:t xml:space="preserve">Recommendations: </w:t>
            </w:r>
          </w:p>
          <w:p w:rsidR="00457774" w:rsidRPr="0088360D" w:rsidRDefault="00457774">
            <w:pPr>
              <w:pStyle w:val="BodyText3"/>
              <w:jc w:val="left"/>
              <w:rPr>
                <w:b/>
                <w:bCs/>
                <w:u w:val="single"/>
              </w:rPr>
            </w:pPr>
          </w:p>
          <w:p w:rsidR="00696FC4" w:rsidRPr="0088360D" w:rsidRDefault="00C41C83" w:rsidP="0087231C">
            <w:pPr>
              <w:pStyle w:val="BodyText3"/>
              <w:numPr>
                <w:ilvl w:val="0"/>
                <w:numId w:val="3"/>
              </w:numPr>
              <w:ind w:left="1077" w:hanging="357"/>
              <w:jc w:val="left"/>
            </w:pPr>
            <w:r w:rsidRPr="0088360D">
              <w:t>That Cabinet notes</w:t>
            </w:r>
            <w:r w:rsidR="00696FC4" w:rsidRPr="0088360D">
              <w:t xml:space="preserve"> the revenue and capital outturn position </w:t>
            </w:r>
            <w:r w:rsidR="00F4695D" w:rsidRPr="0088360D">
              <w:t>for 201</w:t>
            </w:r>
            <w:r w:rsidR="0008561D" w:rsidRPr="0088360D">
              <w:t>5</w:t>
            </w:r>
            <w:r w:rsidR="009870D0" w:rsidRPr="0088360D">
              <w:t>/</w:t>
            </w:r>
            <w:r w:rsidR="0008561D" w:rsidRPr="0088360D">
              <w:t>16</w:t>
            </w:r>
          </w:p>
          <w:p w:rsidR="00EF2466" w:rsidRPr="0088360D" w:rsidRDefault="00C41C83" w:rsidP="0087231C">
            <w:pPr>
              <w:pStyle w:val="BodyText3"/>
              <w:numPr>
                <w:ilvl w:val="0"/>
                <w:numId w:val="3"/>
              </w:numPr>
              <w:jc w:val="left"/>
              <w:rPr>
                <w:color w:val="FF0000"/>
              </w:rPr>
            </w:pPr>
            <w:r w:rsidRPr="0088360D">
              <w:t xml:space="preserve">That Cabinet approves </w:t>
            </w:r>
            <w:r w:rsidR="00EF2466" w:rsidRPr="0088360D">
              <w:t xml:space="preserve">the </w:t>
            </w:r>
            <w:r w:rsidR="00F4695D" w:rsidRPr="0088360D">
              <w:t xml:space="preserve">contributions </w:t>
            </w:r>
            <w:r w:rsidR="00E246D7" w:rsidRPr="0088360D">
              <w:t xml:space="preserve">to reserves </w:t>
            </w:r>
            <w:r w:rsidR="00F4695D" w:rsidRPr="0088360D">
              <w:t>outlined in paragraph</w:t>
            </w:r>
            <w:r w:rsidR="00844D4D" w:rsidRPr="0088360D">
              <w:t>s</w:t>
            </w:r>
            <w:r w:rsidR="00F4695D" w:rsidRPr="0088360D">
              <w:t xml:space="preserve"> </w:t>
            </w:r>
            <w:r w:rsidR="008D629E" w:rsidRPr="0088360D">
              <w:t>2</w:t>
            </w:r>
            <w:r w:rsidR="004309A2">
              <w:t>1</w:t>
            </w:r>
            <w:r w:rsidR="00F95414" w:rsidRPr="0088360D">
              <w:t>, 2</w:t>
            </w:r>
            <w:r w:rsidR="004309A2">
              <w:t>4</w:t>
            </w:r>
            <w:r w:rsidR="00E22B82" w:rsidRPr="0088360D">
              <w:t xml:space="preserve"> and </w:t>
            </w:r>
            <w:r w:rsidR="004309A2">
              <w:t>26</w:t>
            </w:r>
            <w:r w:rsidR="00E22B82" w:rsidRPr="0088360D">
              <w:t>.</w:t>
            </w:r>
          </w:p>
          <w:p w:rsidR="00445A62" w:rsidRPr="0088360D" w:rsidRDefault="00C41C83" w:rsidP="0087231C">
            <w:pPr>
              <w:pStyle w:val="BodyText3"/>
              <w:numPr>
                <w:ilvl w:val="0"/>
                <w:numId w:val="3"/>
              </w:numPr>
              <w:ind w:left="1077" w:hanging="357"/>
              <w:jc w:val="left"/>
            </w:pPr>
            <w:r w:rsidRPr="0088360D">
              <w:lastRenderedPageBreak/>
              <w:t xml:space="preserve">That Cabinet approves </w:t>
            </w:r>
            <w:r w:rsidR="00445A62" w:rsidRPr="0088360D">
              <w:t xml:space="preserve">the revenue carry forwards </w:t>
            </w:r>
            <w:r w:rsidR="004309A2">
              <w:t xml:space="preserve">of £1.793m </w:t>
            </w:r>
            <w:r w:rsidR="00445A62" w:rsidRPr="0088360D">
              <w:t>outlined at paragraph</w:t>
            </w:r>
            <w:r w:rsidR="004309A2">
              <w:t>s</w:t>
            </w:r>
            <w:r w:rsidR="000445C5" w:rsidRPr="0088360D">
              <w:t xml:space="preserve"> </w:t>
            </w:r>
            <w:r w:rsidR="00E22B82" w:rsidRPr="0088360D">
              <w:t>2</w:t>
            </w:r>
            <w:r w:rsidR="0088360D" w:rsidRPr="0088360D">
              <w:t>7</w:t>
            </w:r>
            <w:r w:rsidR="004309A2">
              <w:t xml:space="preserve"> and 28</w:t>
            </w:r>
            <w:r w:rsidR="00445A62" w:rsidRPr="0088360D">
              <w:t xml:space="preserve"> and detailed in </w:t>
            </w:r>
            <w:r w:rsidR="00D21A7B" w:rsidRPr="0088360D">
              <w:t>A</w:t>
            </w:r>
            <w:r w:rsidR="00445A62" w:rsidRPr="0088360D">
              <w:t xml:space="preserve">ppendix </w:t>
            </w:r>
            <w:r w:rsidR="00942F9C" w:rsidRPr="0088360D">
              <w:t>1</w:t>
            </w:r>
            <w:r w:rsidR="00DB09BD">
              <w:t>, that have been</w:t>
            </w:r>
            <w:r w:rsidR="00773B20">
              <w:t xml:space="preserve"> agreed by the Director of Finance in accordance with the Financial Regulations</w:t>
            </w:r>
            <w:r w:rsidR="007373C7">
              <w:t>.</w:t>
            </w:r>
          </w:p>
          <w:p w:rsidR="007373C7" w:rsidRDefault="007373C7" w:rsidP="0087231C">
            <w:pPr>
              <w:pStyle w:val="BodyText3"/>
              <w:numPr>
                <w:ilvl w:val="0"/>
                <w:numId w:val="3"/>
              </w:numPr>
              <w:ind w:left="1077" w:hanging="357"/>
              <w:jc w:val="left"/>
            </w:pPr>
            <w:r>
              <w:t>That Cabinet approves the debt write off and lease surrender as set out in paragraph 8.</w:t>
            </w:r>
          </w:p>
          <w:p w:rsidR="007373C7" w:rsidRPr="0088360D" w:rsidRDefault="007373C7" w:rsidP="0087231C">
            <w:pPr>
              <w:pStyle w:val="BodyText3"/>
              <w:numPr>
                <w:ilvl w:val="0"/>
                <w:numId w:val="3"/>
              </w:numPr>
              <w:ind w:left="1077" w:hanging="357"/>
              <w:jc w:val="left"/>
            </w:pPr>
            <w:r>
              <w:t xml:space="preserve">That Cabinet </w:t>
            </w:r>
            <w:r w:rsidRPr="0088360D">
              <w:t>approves the</w:t>
            </w:r>
            <w:r>
              <w:t xml:space="preserve"> Housing Revenue Account </w:t>
            </w:r>
            <w:r w:rsidRPr="0088360D">
              <w:t xml:space="preserve"> debt write off outlined in paragraph</w:t>
            </w:r>
            <w:r>
              <w:t xml:space="preserve"> </w:t>
            </w:r>
            <w:r w:rsidRPr="0088360D">
              <w:t>3</w:t>
            </w:r>
            <w:r w:rsidR="004309A2">
              <w:t>1</w:t>
            </w:r>
          </w:p>
          <w:p w:rsidR="00570686" w:rsidRPr="0088360D" w:rsidRDefault="00570686" w:rsidP="0087231C">
            <w:pPr>
              <w:pStyle w:val="BodyText3"/>
              <w:numPr>
                <w:ilvl w:val="0"/>
                <w:numId w:val="3"/>
              </w:numPr>
              <w:ind w:left="1077" w:hanging="357"/>
              <w:jc w:val="left"/>
            </w:pPr>
            <w:r w:rsidRPr="0088360D">
              <w:t xml:space="preserve">That Cabinet </w:t>
            </w:r>
            <w:r w:rsidR="00D21B90">
              <w:t>approves</w:t>
            </w:r>
            <w:r w:rsidRPr="0088360D">
              <w:t xml:space="preserve"> the carry forwards on the capital programme outlined in table 4 (paragraph 3</w:t>
            </w:r>
            <w:r w:rsidR="004309A2">
              <w:t>2</w:t>
            </w:r>
            <w:r w:rsidRPr="0088360D">
              <w:t>) and set out at Appendix 2 that have been a</w:t>
            </w:r>
            <w:r w:rsidR="00773B20">
              <w:t>greed by the Director of Finance in accordance with the Financial Regulations</w:t>
            </w:r>
            <w:r w:rsidRPr="0088360D">
              <w:t>.</w:t>
            </w:r>
          </w:p>
          <w:p w:rsidR="008D629E" w:rsidRPr="0088360D" w:rsidRDefault="008D629E" w:rsidP="0087231C">
            <w:pPr>
              <w:pStyle w:val="BodyText3"/>
              <w:numPr>
                <w:ilvl w:val="0"/>
                <w:numId w:val="3"/>
              </w:numPr>
              <w:ind w:left="1077" w:hanging="357"/>
              <w:jc w:val="left"/>
            </w:pPr>
            <w:r w:rsidRPr="0088360D">
              <w:t xml:space="preserve">That Cabinet </w:t>
            </w:r>
            <w:r w:rsidR="00374186">
              <w:t>note</w:t>
            </w:r>
            <w:r w:rsidRPr="0088360D">
              <w:t xml:space="preserve"> the </w:t>
            </w:r>
            <w:r w:rsidR="00570686" w:rsidRPr="0088360D">
              <w:t xml:space="preserve">reduction in the </w:t>
            </w:r>
            <w:r w:rsidRPr="0088360D">
              <w:t xml:space="preserve">capital programme outlined in paragraph </w:t>
            </w:r>
            <w:r w:rsidR="004309A2">
              <w:t>34</w:t>
            </w:r>
            <w:r w:rsidRPr="0088360D">
              <w:t>.</w:t>
            </w:r>
          </w:p>
          <w:p w:rsidR="00342FA2" w:rsidRPr="0088360D" w:rsidRDefault="00342FA2" w:rsidP="00342FA2">
            <w:pPr>
              <w:pStyle w:val="ListParagraph"/>
              <w:numPr>
                <w:ilvl w:val="0"/>
                <w:numId w:val="3"/>
              </w:numPr>
              <w:rPr>
                <w:rFonts w:cs="Arial"/>
                <w:szCs w:val="24"/>
              </w:rPr>
            </w:pPr>
            <w:r w:rsidRPr="0088360D">
              <w:rPr>
                <w:rFonts w:cs="Arial"/>
                <w:szCs w:val="24"/>
              </w:rPr>
              <w:t xml:space="preserve">That Cabinet </w:t>
            </w:r>
            <w:r w:rsidR="00570686" w:rsidRPr="0088360D">
              <w:rPr>
                <w:rFonts w:cs="Arial"/>
                <w:szCs w:val="24"/>
              </w:rPr>
              <w:t xml:space="preserve">note the virement </w:t>
            </w:r>
            <w:r w:rsidRPr="0088360D">
              <w:rPr>
                <w:rFonts w:cs="Arial"/>
                <w:szCs w:val="24"/>
              </w:rPr>
              <w:t xml:space="preserve">changes in quarter 4 </w:t>
            </w:r>
            <w:r w:rsidR="004309A2">
              <w:rPr>
                <w:rFonts w:cs="Arial"/>
                <w:szCs w:val="24"/>
              </w:rPr>
              <w:t xml:space="preserve">2015/16 </w:t>
            </w:r>
            <w:r w:rsidRPr="0088360D">
              <w:rPr>
                <w:rFonts w:cs="Arial"/>
                <w:szCs w:val="24"/>
              </w:rPr>
              <w:t xml:space="preserve">to the Capital Programme outlined in paragraph </w:t>
            </w:r>
            <w:r w:rsidR="00570686" w:rsidRPr="0088360D">
              <w:rPr>
                <w:rFonts w:cs="Arial"/>
                <w:szCs w:val="24"/>
              </w:rPr>
              <w:t>3</w:t>
            </w:r>
            <w:r w:rsidR="004309A2">
              <w:rPr>
                <w:rFonts w:cs="Arial"/>
                <w:szCs w:val="24"/>
              </w:rPr>
              <w:t>5</w:t>
            </w:r>
            <w:r w:rsidR="00570686" w:rsidRPr="0088360D">
              <w:rPr>
                <w:rFonts w:cs="Arial"/>
                <w:szCs w:val="24"/>
              </w:rPr>
              <w:t>.</w:t>
            </w:r>
          </w:p>
          <w:p w:rsidR="00457774" w:rsidRPr="003824AA" w:rsidRDefault="00457774" w:rsidP="00342FA2">
            <w:pPr>
              <w:pStyle w:val="ListParagraph"/>
              <w:numPr>
                <w:ilvl w:val="0"/>
                <w:numId w:val="3"/>
              </w:numPr>
              <w:rPr>
                <w:rFonts w:cs="Arial"/>
                <w:szCs w:val="24"/>
              </w:rPr>
            </w:pPr>
            <w:r w:rsidRPr="0088360D">
              <w:rPr>
                <w:rFonts w:cs="Arial"/>
                <w:szCs w:val="24"/>
              </w:rPr>
              <w:t xml:space="preserve">That Cabinet approve the </w:t>
            </w:r>
            <w:r w:rsidR="000E78B9">
              <w:rPr>
                <w:rFonts w:cs="Arial"/>
                <w:szCs w:val="24"/>
              </w:rPr>
              <w:t>virements</w:t>
            </w:r>
            <w:r w:rsidRPr="0088360D">
              <w:rPr>
                <w:rFonts w:cs="Arial"/>
                <w:szCs w:val="24"/>
              </w:rPr>
              <w:t xml:space="preserve"> in the 2016/17 capital programme detailed in paragraph </w:t>
            </w:r>
            <w:r w:rsidR="00570686" w:rsidRPr="0088360D">
              <w:rPr>
                <w:rFonts w:cs="Arial"/>
                <w:szCs w:val="24"/>
              </w:rPr>
              <w:t>3</w:t>
            </w:r>
            <w:r w:rsidR="004309A2">
              <w:rPr>
                <w:rFonts w:cs="Arial"/>
                <w:szCs w:val="24"/>
              </w:rPr>
              <w:t>6</w:t>
            </w:r>
            <w:r w:rsidRPr="0088360D">
              <w:rPr>
                <w:rFonts w:cs="Arial"/>
                <w:color w:val="FF0000"/>
                <w:szCs w:val="24"/>
              </w:rPr>
              <w:t>.</w:t>
            </w:r>
          </w:p>
          <w:p w:rsidR="00346902" w:rsidRPr="00DB23F1" w:rsidRDefault="00346902" w:rsidP="00342FA2">
            <w:pPr>
              <w:pStyle w:val="ListParagraph"/>
              <w:numPr>
                <w:ilvl w:val="0"/>
                <w:numId w:val="3"/>
              </w:numPr>
              <w:rPr>
                <w:rFonts w:cs="Arial"/>
                <w:szCs w:val="24"/>
              </w:rPr>
            </w:pPr>
            <w:r w:rsidRPr="003824AA">
              <w:rPr>
                <w:rFonts w:cs="Arial"/>
                <w:szCs w:val="24"/>
              </w:rPr>
              <w:t xml:space="preserve">That Cabinet approve the addition to the 2016/17 capital programme of £150k as set out in </w:t>
            </w:r>
            <w:r w:rsidRPr="00DB23F1">
              <w:rPr>
                <w:rFonts w:cs="Arial"/>
                <w:szCs w:val="24"/>
              </w:rPr>
              <w:t xml:space="preserve">paragraph </w:t>
            </w:r>
            <w:r w:rsidR="00CF4A97" w:rsidRPr="00DB23F1">
              <w:rPr>
                <w:rFonts w:cs="Arial"/>
                <w:szCs w:val="24"/>
              </w:rPr>
              <w:t>3</w:t>
            </w:r>
            <w:r w:rsidR="004309A2" w:rsidRPr="00DB23F1">
              <w:rPr>
                <w:rFonts w:cs="Arial"/>
                <w:szCs w:val="24"/>
              </w:rPr>
              <w:t>7</w:t>
            </w:r>
            <w:r w:rsidR="00CF4A97" w:rsidRPr="00DB23F1">
              <w:rPr>
                <w:rFonts w:cs="Arial"/>
                <w:szCs w:val="24"/>
              </w:rPr>
              <w:t>.</w:t>
            </w:r>
          </w:p>
          <w:p w:rsidR="00066138" w:rsidRPr="00DB23F1" w:rsidRDefault="00066138" w:rsidP="00342FA2">
            <w:pPr>
              <w:pStyle w:val="ListParagraph"/>
              <w:numPr>
                <w:ilvl w:val="0"/>
                <w:numId w:val="3"/>
              </w:numPr>
              <w:rPr>
                <w:rFonts w:cs="Arial"/>
                <w:szCs w:val="24"/>
              </w:rPr>
            </w:pPr>
            <w:r w:rsidRPr="00DB23F1">
              <w:rPr>
                <w:rFonts w:cs="Arial"/>
                <w:szCs w:val="24"/>
              </w:rPr>
              <w:t>That Cabinet approve converting a £1m loan to a grant in the 2016/17 capital programme as set out at paragraph</w:t>
            </w:r>
            <w:r w:rsidR="00344347" w:rsidRPr="00DB23F1">
              <w:rPr>
                <w:rFonts w:cs="Arial"/>
                <w:szCs w:val="24"/>
              </w:rPr>
              <w:t xml:space="preserve"> 4</w:t>
            </w:r>
            <w:r w:rsidR="004309A2" w:rsidRPr="00DB23F1">
              <w:rPr>
                <w:rFonts w:cs="Arial"/>
                <w:szCs w:val="24"/>
              </w:rPr>
              <w:t>7</w:t>
            </w:r>
            <w:r w:rsidRPr="00DB23F1">
              <w:rPr>
                <w:rFonts w:cs="Arial"/>
                <w:szCs w:val="24"/>
              </w:rPr>
              <w:t>.</w:t>
            </w:r>
          </w:p>
          <w:p w:rsidR="00457774" w:rsidRDefault="00457774" w:rsidP="00342FA2">
            <w:pPr>
              <w:pStyle w:val="ListParagraph"/>
              <w:numPr>
                <w:ilvl w:val="0"/>
                <w:numId w:val="3"/>
              </w:numPr>
              <w:rPr>
                <w:rFonts w:cs="Arial"/>
                <w:szCs w:val="24"/>
              </w:rPr>
            </w:pPr>
            <w:r w:rsidRPr="0088360D">
              <w:rPr>
                <w:rFonts w:cs="Arial"/>
                <w:szCs w:val="24"/>
              </w:rPr>
              <w:t>That Cabinet notes the timetable for accounts completion and external audit review as outlined in paragraph</w:t>
            </w:r>
            <w:r w:rsidR="005104A9" w:rsidRPr="0088360D">
              <w:rPr>
                <w:rFonts w:cs="Arial"/>
                <w:szCs w:val="24"/>
              </w:rPr>
              <w:t>s</w:t>
            </w:r>
            <w:r w:rsidRPr="0088360D">
              <w:rPr>
                <w:rFonts w:cs="Arial"/>
                <w:szCs w:val="24"/>
              </w:rPr>
              <w:t xml:space="preserve"> </w:t>
            </w:r>
            <w:r w:rsidR="00344347">
              <w:rPr>
                <w:rFonts w:cs="Arial"/>
                <w:szCs w:val="24"/>
              </w:rPr>
              <w:t>5</w:t>
            </w:r>
            <w:r w:rsidR="004309A2">
              <w:rPr>
                <w:rFonts w:cs="Arial"/>
                <w:szCs w:val="24"/>
              </w:rPr>
              <w:t>4</w:t>
            </w:r>
            <w:r w:rsidR="005104A9" w:rsidRPr="0088360D">
              <w:rPr>
                <w:rFonts w:cs="Arial"/>
                <w:szCs w:val="24"/>
              </w:rPr>
              <w:t xml:space="preserve"> and 5</w:t>
            </w:r>
            <w:r w:rsidR="004309A2">
              <w:rPr>
                <w:rFonts w:cs="Arial"/>
                <w:szCs w:val="24"/>
              </w:rPr>
              <w:t>5</w:t>
            </w:r>
            <w:r w:rsidRPr="0088360D">
              <w:rPr>
                <w:rFonts w:cs="Arial"/>
                <w:szCs w:val="24"/>
              </w:rPr>
              <w:t>.</w:t>
            </w:r>
          </w:p>
          <w:p w:rsidR="00696FC4" w:rsidRPr="0088360D" w:rsidRDefault="00696FC4">
            <w:pPr>
              <w:ind w:right="-480"/>
              <w:rPr>
                <w:rFonts w:cs="Arial"/>
                <w:color w:val="FF0000"/>
                <w:szCs w:val="24"/>
              </w:rPr>
            </w:pPr>
          </w:p>
          <w:p w:rsidR="00457774" w:rsidRPr="0088360D" w:rsidRDefault="00457774" w:rsidP="00457774">
            <w:pPr>
              <w:pStyle w:val="BodyText3"/>
              <w:jc w:val="left"/>
              <w:rPr>
                <w:b/>
                <w:bCs/>
                <w:u w:val="single"/>
              </w:rPr>
            </w:pPr>
            <w:r w:rsidRPr="0088360D">
              <w:rPr>
                <w:b/>
                <w:bCs/>
                <w:u w:val="single"/>
              </w:rPr>
              <w:t>Reason (for recommendation)</w:t>
            </w:r>
          </w:p>
          <w:p w:rsidR="00457774" w:rsidRDefault="00457774" w:rsidP="00457774">
            <w:pPr>
              <w:ind w:right="-480"/>
              <w:rPr>
                <w:rFonts w:cs="Arial"/>
              </w:rPr>
            </w:pPr>
            <w:r w:rsidRPr="0088360D">
              <w:rPr>
                <w:rFonts w:cs="Arial"/>
              </w:rPr>
              <w:t>To report the financial position as at 31 March 2016</w:t>
            </w:r>
            <w:r w:rsidR="001A7954">
              <w:rPr>
                <w:rFonts w:cs="Arial"/>
              </w:rPr>
              <w:t>.</w:t>
            </w:r>
          </w:p>
          <w:p w:rsidR="00864EF6" w:rsidRDefault="00864EF6" w:rsidP="00457774">
            <w:pPr>
              <w:ind w:right="-480"/>
              <w:rPr>
                <w:rFonts w:cs="Arial"/>
                <w:color w:val="FF0000"/>
                <w:szCs w:val="24"/>
              </w:rPr>
            </w:pPr>
          </w:p>
        </w:tc>
      </w:tr>
    </w:tbl>
    <w:p w:rsidR="00484862" w:rsidRDefault="00484862" w:rsidP="00484862"/>
    <w:p w:rsidR="002E3530" w:rsidRDefault="002E3530" w:rsidP="00484862"/>
    <w:p w:rsidR="00696FC4" w:rsidRDefault="00696FC4">
      <w:pPr>
        <w:pStyle w:val="Heading1"/>
      </w:pPr>
      <w:r>
        <w:t>Section 2 – Report</w:t>
      </w:r>
    </w:p>
    <w:p w:rsidR="00696FC4" w:rsidRDefault="00696FC4">
      <w:pPr>
        <w:rPr>
          <w:rFonts w:cs="Arial"/>
        </w:rPr>
      </w:pPr>
    </w:p>
    <w:p w:rsidR="004B38FC" w:rsidRPr="0057184D" w:rsidRDefault="00F92295" w:rsidP="0057184D">
      <w:pPr>
        <w:rPr>
          <w:rFonts w:cs="Arial"/>
          <w:b/>
        </w:rPr>
      </w:pPr>
      <w:r>
        <w:rPr>
          <w:rFonts w:cs="Arial"/>
          <w:b/>
        </w:rPr>
        <w:t>EXECUTIVE SUMMARY</w:t>
      </w:r>
    </w:p>
    <w:p w:rsidR="00305A04" w:rsidRDefault="007716D1" w:rsidP="003824AA">
      <w:pPr>
        <w:pStyle w:val="ListParagraph"/>
        <w:numPr>
          <w:ilvl w:val="0"/>
          <w:numId w:val="13"/>
        </w:numPr>
        <w:ind w:right="304"/>
        <w:jc w:val="both"/>
        <w:rPr>
          <w:rFonts w:cs="Arial"/>
        </w:rPr>
      </w:pPr>
      <w:r w:rsidRPr="007716D1">
        <w:rPr>
          <w:rFonts w:cs="Arial"/>
        </w:rPr>
        <w:t xml:space="preserve">2015/16 has remained a very challenging financial environment.  The budget includes gross savings of £18.720m and demand pressures on the front line </w:t>
      </w:r>
      <w:r w:rsidRPr="00C82A14">
        <w:rPr>
          <w:rFonts w:cs="Arial"/>
        </w:rPr>
        <w:t xml:space="preserve">directorates continues.  </w:t>
      </w:r>
      <w:r w:rsidR="00433311" w:rsidRPr="00C82A14">
        <w:rPr>
          <w:rFonts w:cs="Arial"/>
        </w:rPr>
        <w:t xml:space="preserve">The </w:t>
      </w:r>
      <w:r w:rsidR="00445A62" w:rsidRPr="00C82A14">
        <w:rPr>
          <w:rFonts w:cs="Arial"/>
        </w:rPr>
        <w:t xml:space="preserve">revenue </w:t>
      </w:r>
      <w:r w:rsidR="00433311" w:rsidRPr="00C82A14">
        <w:rPr>
          <w:rFonts w:cs="Arial"/>
        </w:rPr>
        <w:t xml:space="preserve">outturn </w:t>
      </w:r>
      <w:r w:rsidR="00DF7D23" w:rsidRPr="00C82A14">
        <w:rPr>
          <w:rFonts w:cs="Arial"/>
        </w:rPr>
        <w:t xml:space="preserve">position </w:t>
      </w:r>
      <w:r w:rsidR="00433311" w:rsidRPr="00C82A14">
        <w:rPr>
          <w:rFonts w:cs="Arial"/>
        </w:rPr>
        <w:t xml:space="preserve">of the Council at the end of the </w:t>
      </w:r>
      <w:r w:rsidR="00D21A7B" w:rsidRPr="0020633A">
        <w:rPr>
          <w:rFonts w:cs="Arial"/>
        </w:rPr>
        <w:t>financial year 201</w:t>
      </w:r>
      <w:r w:rsidR="00C55A02" w:rsidRPr="007716D1">
        <w:rPr>
          <w:rFonts w:cs="Arial"/>
        </w:rPr>
        <w:t>5</w:t>
      </w:r>
      <w:r w:rsidR="00033CFC" w:rsidRPr="007716D1">
        <w:rPr>
          <w:rFonts w:cs="Arial"/>
        </w:rPr>
        <w:t>/1</w:t>
      </w:r>
      <w:r w:rsidR="0008561D" w:rsidRPr="007716D1">
        <w:rPr>
          <w:rFonts w:cs="Arial"/>
        </w:rPr>
        <w:t>6</w:t>
      </w:r>
      <w:r w:rsidR="00D21A7B" w:rsidRPr="007716D1">
        <w:rPr>
          <w:rFonts w:cs="Arial"/>
        </w:rPr>
        <w:t xml:space="preserve"> </w:t>
      </w:r>
      <w:r w:rsidR="00433311" w:rsidRPr="007716D1">
        <w:rPr>
          <w:rFonts w:cs="Arial"/>
        </w:rPr>
        <w:t xml:space="preserve">year is showing a </w:t>
      </w:r>
      <w:r w:rsidR="00C55A02" w:rsidRPr="007716D1">
        <w:rPr>
          <w:rFonts w:cs="Arial"/>
        </w:rPr>
        <w:t>balanced position</w:t>
      </w:r>
      <w:r>
        <w:rPr>
          <w:rFonts w:cs="Arial"/>
        </w:rPr>
        <w:t xml:space="preserve"> after transfers to and from reserves.</w:t>
      </w:r>
      <w:r w:rsidRPr="007716D1">
        <w:rPr>
          <w:rFonts w:cs="Arial"/>
        </w:rPr>
        <w:t xml:space="preserve"> </w:t>
      </w:r>
      <w:r w:rsidR="00C55A02" w:rsidRPr="007716D1">
        <w:rPr>
          <w:rFonts w:cs="Arial"/>
        </w:rPr>
        <w:t xml:space="preserve"> The Directorate</w:t>
      </w:r>
      <w:r w:rsidRPr="007716D1">
        <w:rPr>
          <w:rFonts w:cs="Arial"/>
        </w:rPr>
        <w:t>s</w:t>
      </w:r>
      <w:r w:rsidR="00C55A02" w:rsidRPr="007716D1">
        <w:rPr>
          <w:rFonts w:cs="Arial"/>
        </w:rPr>
        <w:t xml:space="preserve"> spend shows </w:t>
      </w:r>
      <w:r w:rsidR="00792EC2" w:rsidRPr="007716D1">
        <w:rPr>
          <w:rFonts w:cs="Arial"/>
        </w:rPr>
        <w:t>a net</w:t>
      </w:r>
      <w:r w:rsidR="00C55A02" w:rsidRPr="007716D1">
        <w:rPr>
          <w:rFonts w:cs="Arial"/>
        </w:rPr>
        <w:t xml:space="preserve"> overspend of £</w:t>
      </w:r>
      <w:r w:rsidR="00792EC2" w:rsidRPr="007716D1">
        <w:rPr>
          <w:rFonts w:cs="Arial"/>
        </w:rPr>
        <w:t>0.889m</w:t>
      </w:r>
      <w:r w:rsidR="00C36FA8" w:rsidRPr="007716D1">
        <w:rPr>
          <w:rFonts w:cs="Arial"/>
        </w:rPr>
        <w:t xml:space="preserve"> after one off draw downs</w:t>
      </w:r>
      <w:r w:rsidRPr="007716D1">
        <w:rPr>
          <w:rFonts w:cs="Arial"/>
        </w:rPr>
        <w:t xml:space="preserve"> from reserves of £1.647m (£1m in relation to the Welfare Reform Reserve and £0.647m from the Children’s Social Care Reserve). </w:t>
      </w:r>
      <w:r w:rsidR="00792EC2" w:rsidRPr="007716D1">
        <w:rPr>
          <w:rFonts w:cs="Arial"/>
        </w:rPr>
        <w:t xml:space="preserve"> After allowing for revenue carry forwards of £1.793m, the </w:t>
      </w:r>
      <w:r w:rsidR="0088360D" w:rsidRPr="007716D1">
        <w:rPr>
          <w:rFonts w:cs="Arial"/>
        </w:rPr>
        <w:t xml:space="preserve">net </w:t>
      </w:r>
      <w:r w:rsidR="00305A04">
        <w:rPr>
          <w:rFonts w:cs="Arial"/>
        </w:rPr>
        <w:t xml:space="preserve">Directorate </w:t>
      </w:r>
      <w:r w:rsidR="00792EC2" w:rsidRPr="007716D1">
        <w:rPr>
          <w:rFonts w:cs="Arial"/>
        </w:rPr>
        <w:t xml:space="preserve">overspend </w:t>
      </w:r>
      <w:r w:rsidR="0088360D" w:rsidRPr="007716D1">
        <w:rPr>
          <w:rFonts w:cs="Arial"/>
        </w:rPr>
        <w:t>increases to</w:t>
      </w:r>
      <w:r w:rsidR="00792EC2" w:rsidRPr="007716D1">
        <w:rPr>
          <w:rFonts w:cs="Arial"/>
        </w:rPr>
        <w:t xml:space="preserve"> £</w:t>
      </w:r>
      <w:r w:rsidR="00C55A02" w:rsidRPr="007716D1">
        <w:rPr>
          <w:rFonts w:cs="Arial"/>
        </w:rPr>
        <w:t>2.682m</w:t>
      </w:r>
      <w:r w:rsidR="00792EC2" w:rsidRPr="007716D1">
        <w:rPr>
          <w:rFonts w:cs="Arial"/>
        </w:rPr>
        <w:t xml:space="preserve">.  </w:t>
      </w:r>
      <w:r w:rsidR="00792EC2" w:rsidRPr="00C82A14">
        <w:rPr>
          <w:rFonts w:cs="Arial"/>
        </w:rPr>
        <w:t>However, there was an underspend of £3.</w:t>
      </w:r>
      <w:r w:rsidR="00066138" w:rsidRPr="00C82A14">
        <w:rPr>
          <w:rFonts w:cs="Arial"/>
        </w:rPr>
        <w:t>5</w:t>
      </w:r>
      <w:r w:rsidR="00792EC2" w:rsidRPr="00C82A14">
        <w:rPr>
          <w:rFonts w:cs="Arial"/>
        </w:rPr>
        <w:t xml:space="preserve">57m in the Corporate </w:t>
      </w:r>
      <w:r w:rsidRPr="0020633A">
        <w:rPr>
          <w:rFonts w:cs="Arial"/>
        </w:rPr>
        <w:t>budget</w:t>
      </w:r>
      <w:r w:rsidRPr="007716D1">
        <w:rPr>
          <w:rFonts w:cs="Arial"/>
        </w:rPr>
        <w:t xml:space="preserve">s </w:t>
      </w:r>
      <w:r w:rsidR="00792EC2" w:rsidRPr="007716D1">
        <w:rPr>
          <w:rFonts w:cs="Arial"/>
        </w:rPr>
        <w:t xml:space="preserve"> and </w:t>
      </w:r>
      <w:r w:rsidRPr="007716D1">
        <w:rPr>
          <w:rFonts w:cs="Arial"/>
        </w:rPr>
        <w:t xml:space="preserve">the general contingency </w:t>
      </w:r>
      <w:r w:rsidR="00792EC2" w:rsidRPr="007716D1">
        <w:rPr>
          <w:rFonts w:cs="Arial"/>
        </w:rPr>
        <w:t xml:space="preserve"> which </w:t>
      </w:r>
      <w:r w:rsidRPr="007716D1">
        <w:rPr>
          <w:rFonts w:cs="Arial"/>
        </w:rPr>
        <w:t xml:space="preserve">results in a </w:t>
      </w:r>
      <w:r w:rsidR="00792EC2" w:rsidRPr="007716D1">
        <w:rPr>
          <w:rFonts w:cs="Arial"/>
        </w:rPr>
        <w:t xml:space="preserve">net </w:t>
      </w:r>
      <w:r w:rsidR="00305A04">
        <w:rPr>
          <w:rFonts w:cs="Arial"/>
        </w:rPr>
        <w:t xml:space="preserve">overall </w:t>
      </w:r>
      <w:r w:rsidR="00792EC2" w:rsidRPr="007716D1">
        <w:rPr>
          <w:rFonts w:cs="Arial"/>
        </w:rPr>
        <w:t xml:space="preserve">underspend of £0.875m. </w:t>
      </w:r>
    </w:p>
    <w:p w:rsidR="00E538D5" w:rsidRPr="007716D1" w:rsidRDefault="00E538D5" w:rsidP="00305A04">
      <w:pPr>
        <w:pStyle w:val="ListParagraph"/>
        <w:ind w:left="374" w:right="304"/>
        <w:jc w:val="both"/>
        <w:rPr>
          <w:rFonts w:cs="Arial"/>
        </w:rPr>
      </w:pPr>
    </w:p>
    <w:p w:rsidR="005B4944" w:rsidRDefault="00D60427" w:rsidP="008421AB">
      <w:pPr>
        <w:numPr>
          <w:ilvl w:val="0"/>
          <w:numId w:val="8"/>
        </w:numPr>
        <w:tabs>
          <w:tab w:val="clear" w:pos="374"/>
          <w:tab w:val="num" w:pos="709"/>
        </w:tabs>
        <w:ind w:left="426" w:right="304" w:hanging="426"/>
        <w:jc w:val="both"/>
        <w:rPr>
          <w:rFonts w:cs="Arial"/>
        </w:rPr>
      </w:pPr>
      <w:r w:rsidRPr="00B9667E">
        <w:rPr>
          <w:rFonts w:cs="Arial"/>
        </w:rPr>
        <w:t>It is recommended</w:t>
      </w:r>
      <w:r w:rsidR="005B4944" w:rsidRPr="00C14341">
        <w:rPr>
          <w:rFonts w:cs="Arial"/>
        </w:rPr>
        <w:t xml:space="preserve"> that th</w:t>
      </w:r>
      <w:r w:rsidR="00DF7D23" w:rsidRPr="00C14341">
        <w:rPr>
          <w:rFonts w:cs="Arial"/>
        </w:rPr>
        <w:t>e</w:t>
      </w:r>
      <w:r w:rsidR="005B4944" w:rsidRPr="00C14341">
        <w:rPr>
          <w:rFonts w:cs="Arial"/>
        </w:rPr>
        <w:t xml:space="preserve"> </w:t>
      </w:r>
      <w:r w:rsidR="00305A04">
        <w:rPr>
          <w:rFonts w:cs="Arial"/>
        </w:rPr>
        <w:t xml:space="preserve">net </w:t>
      </w:r>
      <w:r w:rsidR="005B4944" w:rsidRPr="00C14341">
        <w:rPr>
          <w:rFonts w:cs="Arial"/>
        </w:rPr>
        <w:t xml:space="preserve">under spend </w:t>
      </w:r>
      <w:r w:rsidR="00D647D4" w:rsidRPr="00C11F21">
        <w:rPr>
          <w:rFonts w:cs="Arial"/>
        </w:rPr>
        <w:t>of £</w:t>
      </w:r>
      <w:r w:rsidR="00305A04">
        <w:rPr>
          <w:rFonts w:cs="Arial"/>
        </w:rPr>
        <w:t>0.875m</w:t>
      </w:r>
      <w:r w:rsidR="00D647D4" w:rsidRPr="00512152">
        <w:rPr>
          <w:rFonts w:cs="Arial"/>
        </w:rPr>
        <w:t xml:space="preserve"> </w:t>
      </w:r>
      <w:r w:rsidR="005B4944" w:rsidRPr="00C11F21">
        <w:rPr>
          <w:rFonts w:cs="Arial"/>
        </w:rPr>
        <w:t xml:space="preserve">is used to </w:t>
      </w:r>
      <w:r w:rsidR="00D647D4" w:rsidRPr="00C11F21">
        <w:rPr>
          <w:rFonts w:cs="Arial"/>
        </w:rPr>
        <w:t>i</w:t>
      </w:r>
      <w:r w:rsidR="00D647D4">
        <w:rPr>
          <w:rFonts w:cs="Arial"/>
        </w:rPr>
        <w:t>ncrease</w:t>
      </w:r>
      <w:r w:rsidR="005B4944">
        <w:rPr>
          <w:rFonts w:cs="Arial"/>
        </w:rPr>
        <w:t xml:space="preserve"> reserves as follows:</w:t>
      </w:r>
    </w:p>
    <w:p w:rsidR="005B4944" w:rsidRDefault="005B4944" w:rsidP="00C767C6">
      <w:pPr>
        <w:tabs>
          <w:tab w:val="num" w:pos="561"/>
        </w:tabs>
        <w:ind w:left="561" w:hanging="561"/>
        <w:jc w:val="both"/>
        <w:rPr>
          <w:rFonts w:cs="Arial"/>
        </w:rPr>
      </w:pPr>
    </w:p>
    <w:p w:rsidR="00326E02" w:rsidRPr="00CE6FEE" w:rsidRDefault="00D72484" w:rsidP="00305A04">
      <w:pPr>
        <w:numPr>
          <w:ilvl w:val="0"/>
          <w:numId w:val="5"/>
        </w:numPr>
        <w:tabs>
          <w:tab w:val="clear" w:pos="734"/>
          <w:tab w:val="num" w:pos="426"/>
          <w:tab w:val="num" w:pos="1094"/>
        </w:tabs>
        <w:ind w:left="561" w:hanging="561"/>
        <w:jc w:val="both"/>
        <w:rPr>
          <w:rFonts w:cs="Arial"/>
        </w:rPr>
      </w:pPr>
      <w:r w:rsidRPr="00305A04">
        <w:rPr>
          <w:rFonts w:cs="Arial"/>
        </w:rPr>
        <w:t>MTFS Implementation</w:t>
      </w:r>
      <w:r w:rsidRPr="00305A04">
        <w:rPr>
          <w:rFonts w:cs="Arial"/>
        </w:rPr>
        <w:tab/>
      </w:r>
      <w:r w:rsidR="00F975E5" w:rsidRPr="00305A04">
        <w:rPr>
          <w:rFonts w:cs="Arial"/>
        </w:rPr>
        <w:t>Reserve</w:t>
      </w:r>
      <w:r w:rsidRPr="00CE6FEE">
        <w:rPr>
          <w:rFonts w:cs="Arial"/>
        </w:rPr>
        <w:tab/>
      </w:r>
      <w:r w:rsidRPr="00CE6FEE">
        <w:rPr>
          <w:rFonts w:cs="Arial"/>
        </w:rPr>
        <w:tab/>
      </w:r>
      <w:r w:rsidRPr="00CE6FEE">
        <w:rPr>
          <w:rFonts w:cs="Arial"/>
        </w:rPr>
        <w:tab/>
      </w:r>
      <w:r w:rsidRPr="00CE6FEE">
        <w:rPr>
          <w:rFonts w:cs="Arial"/>
        </w:rPr>
        <w:tab/>
        <w:t>£</w:t>
      </w:r>
      <w:r w:rsidR="00512152" w:rsidRPr="00CE6FEE">
        <w:rPr>
          <w:rFonts w:cs="Arial"/>
        </w:rPr>
        <w:t>0.</w:t>
      </w:r>
      <w:r w:rsidR="00326E02" w:rsidRPr="00CE6FEE">
        <w:rPr>
          <w:rFonts w:cs="Arial"/>
        </w:rPr>
        <w:t>3</w:t>
      </w:r>
      <w:r w:rsidR="00B06F99" w:rsidRPr="00CE6FEE">
        <w:rPr>
          <w:rFonts w:cs="Arial"/>
        </w:rPr>
        <w:t>75</w:t>
      </w:r>
      <w:r w:rsidR="00C11F21" w:rsidRPr="00CE6FEE">
        <w:rPr>
          <w:rFonts w:cs="Arial"/>
        </w:rPr>
        <w:t>m</w:t>
      </w:r>
    </w:p>
    <w:p w:rsidR="00305A04" w:rsidRDefault="00326E02" w:rsidP="008421AB">
      <w:pPr>
        <w:numPr>
          <w:ilvl w:val="0"/>
          <w:numId w:val="5"/>
        </w:numPr>
        <w:tabs>
          <w:tab w:val="clear" w:pos="734"/>
          <w:tab w:val="num" w:pos="426"/>
          <w:tab w:val="num" w:pos="1094"/>
        </w:tabs>
        <w:ind w:left="561" w:hanging="561"/>
        <w:jc w:val="both"/>
        <w:rPr>
          <w:rFonts w:cs="Arial"/>
        </w:rPr>
      </w:pPr>
      <w:r>
        <w:rPr>
          <w:rFonts w:cs="Arial"/>
        </w:rPr>
        <w:t>Insurance Reserve</w:t>
      </w:r>
      <w:r>
        <w:rPr>
          <w:rFonts w:cs="Arial"/>
        </w:rPr>
        <w:tab/>
      </w:r>
      <w:r>
        <w:rPr>
          <w:rFonts w:cs="Arial"/>
        </w:rPr>
        <w:tab/>
      </w:r>
      <w:r>
        <w:rPr>
          <w:rFonts w:cs="Arial"/>
        </w:rPr>
        <w:tab/>
      </w:r>
      <w:r>
        <w:rPr>
          <w:rFonts w:cs="Arial"/>
        </w:rPr>
        <w:tab/>
      </w:r>
      <w:r>
        <w:rPr>
          <w:rFonts w:cs="Arial"/>
        </w:rPr>
        <w:tab/>
      </w:r>
      <w:r>
        <w:rPr>
          <w:rFonts w:cs="Arial"/>
        </w:rPr>
        <w:tab/>
        <w:t>£0.500m</w:t>
      </w:r>
    </w:p>
    <w:p w:rsidR="00305A04" w:rsidRDefault="00305A04" w:rsidP="003824AA">
      <w:pPr>
        <w:tabs>
          <w:tab w:val="num" w:pos="1094"/>
        </w:tabs>
        <w:jc w:val="both"/>
        <w:rPr>
          <w:rFonts w:cs="Arial"/>
        </w:rPr>
      </w:pPr>
    </w:p>
    <w:p w:rsidR="00305A04" w:rsidRDefault="00305A04" w:rsidP="003824AA">
      <w:pPr>
        <w:tabs>
          <w:tab w:val="num" w:pos="426"/>
        </w:tabs>
        <w:ind w:left="561"/>
        <w:jc w:val="both"/>
        <w:rPr>
          <w:rFonts w:cs="Arial"/>
        </w:rPr>
      </w:pPr>
      <w:r>
        <w:rPr>
          <w:rFonts w:cs="Arial"/>
        </w:rPr>
        <w:t>In addition the carry forward sum of £1.793m is added to reserves and will be allocated out to Directorates in 2016/17.</w:t>
      </w:r>
    </w:p>
    <w:p w:rsidR="005B4944" w:rsidRDefault="00C02F6B" w:rsidP="003824AA">
      <w:pPr>
        <w:tabs>
          <w:tab w:val="num" w:pos="1094"/>
        </w:tabs>
        <w:jc w:val="both"/>
        <w:rPr>
          <w:rFonts w:cs="Arial"/>
        </w:rPr>
      </w:pPr>
      <w:r w:rsidRPr="00074EF4">
        <w:rPr>
          <w:rFonts w:cs="Arial"/>
          <w:color w:val="FF0000"/>
        </w:rPr>
        <w:lastRenderedPageBreak/>
        <w:tab/>
      </w:r>
      <w:r w:rsidRPr="00074EF4">
        <w:rPr>
          <w:rFonts w:cs="Arial"/>
          <w:color w:val="FF0000"/>
        </w:rPr>
        <w:tab/>
      </w:r>
      <w:r>
        <w:rPr>
          <w:rFonts w:cs="Arial"/>
        </w:rPr>
        <w:tab/>
      </w:r>
      <w:r>
        <w:rPr>
          <w:rFonts w:cs="Arial"/>
        </w:rPr>
        <w:tab/>
      </w:r>
      <w:r>
        <w:rPr>
          <w:rFonts w:cs="Arial"/>
        </w:rPr>
        <w:tab/>
      </w:r>
    </w:p>
    <w:p w:rsidR="00305A04" w:rsidRDefault="00305A04" w:rsidP="003824AA">
      <w:pPr>
        <w:pStyle w:val="ListParagraph"/>
        <w:numPr>
          <w:ilvl w:val="0"/>
          <w:numId w:val="8"/>
        </w:numPr>
        <w:tabs>
          <w:tab w:val="num" w:pos="561"/>
        </w:tabs>
        <w:ind w:left="561" w:right="304" w:hanging="561"/>
        <w:jc w:val="both"/>
        <w:rPr>
          <w:rFonts w:cs="Arial"/>
        </w:rPr>
      </w:pPr>
      <w:r>
        <w:rPr>
          <w:rFonts w:cs="Arial"/>
        </w:rPr>
        <w:t xml:space="preserve">   </w:t>
      </w:r>
      <w:r w:rsidR="00D835FF" w:rsidRPr="000760C3">
        <w:rPr>
          <w:rFonts w:cs="Arial"/>
        </w:rPr>
        <w:t xml:space="preserve">The </w:t>
      </w:r>
      <w:r w:rsidR="008B05DD" w:rsidRPr="00C82A14">
        <w:rPr>
          <w:rFonts w:cs="Arial"/>
        </w:rPr>
        <w:t xml:space="preserve">recommended contributions to reserves </w:t>
      </w:r>
      <w:r w:rsidR="008D12A7" w:rsidRPr="00C82A14">
        <w:rPr>
          <w:rFonts w:cs="Arial"/>
        </w:rPr>
        <w:t xml:space="preserve">will </w:t>
      </w:r>
      <w:r w:rsidR="008B05DD" w:rsidRPr="00C82A14">
        <w:rPr>
          <w:rFonts w:cs="Arial"/>
        </w:rPr>
        <w:t xml:space="preserve">support </w:t>
      </w:r>
      <w:r w:rsidR="00FE47DF" w:rsidRPr="00C82A14">
        <w:rPr>
          <w:rFonts w:cs="Arial"/>
        </w:rPr>
        <w:t>the</w:t>
      </w:r>
      <w:r w:rsidR="008D12A7" w:rsidRPr="00C82A14">
        <w:rPr>
          <w:rFonts w:cs="Arial"/>
        </w:rPr>
        <w:t xml:space="preserve"> Council</w:t>
      </w:r>
      <w:r w:rsidR="008B05DD" w:rsidRPr="00C82A14">
        <w:rPr>
          <w:rFonts w:cs="Arial"/>
        </w:rPr>
        <w:t xml:space="preserve"> moving forward </w:t>
      </w:r>
      <w:r w:rsidR="008D12A7" w:rsidRPr="0020633A">
        <w:rPr>
          <w:rFonts w:cs="Arial"/>
        </w:rPr>
        <w:t xml:space="preserve">to deliver </w:t>
      </w:r>
      <w:r w:rsidR="001964C4" w:rsidRPr="000760C3">
        <w:rPr>
          <w:rFonts w:cs="Arial"/>
        </w:rPr>
        <w:t xml:space="preserve">agreed </w:t>
      </w:r>
      <w:r w:rsidR="008D12A7" w:rsidRPr="000760C3">
        <w:rPr>
          <w:rFonts w:cs="Arial"/>
        </w:rPr>
        <w:t xml:space="preserve">services in </w:t>
      </w:r>
      <w:r w:rsidR="002F1743" w:rsidRPr="000760C3">
        <w:rPr>
          <w:rFonts w:cs="Arial"/>
        </w:rPr>
        <w:t>the</w:t>
      </w:r>
      <w:r w:rsidR="008D12A7" w:rsidRPr="000760C3">
        <w:rPr>
          <w:rFonts w:cs="Arial"/>
        </w:rPr>
        <w:t xml:space="preserve"> challenging </w:t>
      </w:r>
      <w:r w:rsidR="005B4944" w:rsidRPr="000760C3">
        <w:rPr>
          <w:rFonts w:cs="Arial"/>
        </w:rPr>
        <w:t xml:space="preserve">financial </w:t>
      </w:r>
      <w:r w:rsidR="008B05DD" w:rsidRPr="000760C3">
        <w:rPr>
          <w:rFonts w:cs="Arial"/>
        </w:rPr>
        <w:t xml:space="preserve">environment </w:t>
      </w:r>
      <w:r w:rsidR="005B4944" w:rsidRPr="000760C3">
        <w:rPr>
          <w:rFonts w:cs="Arial"/>
        </w:rPr>
        <w:t>facing local government.</w:t>
      </w:r>
      <w:r w:rsidR="00F975E5" w:rsidRPr="000760C3">
        <w:rPr>
          <w:rFonts w:cs="Arial"/>
        </w:rPr>
        <w:t xml:space="preserve"> £0.350m of the £0.375m going into the MTFS </w:t>
      </w:r>
      <w:r w:rsidR="000760C3" w:rsidRPr="000760C3">
        <w:rPr>
          <w:rFonts w:cs="Arial"/>
        </w:rPr>
        <w:t xml:space="preserve">Implementation Reserve </w:t>
      </w:r>
      <w:r w:rsidR="00F975E5" w:rsidRPr="000760C3">
        <w:rPr>
          <w:rFonts w:cs="Arial"/>
        </w:rPr>
        <w:t xml:space="preserve">will be used as a one off contribution to fund the cost of retaining the Bridge day care service in 2016/17.  </w:t>
      </w:r>
      <w:r w:rsidR="000760C3" w:rsidRPr="000760C3">
        <w:rPr>
          <w:rFonts w:cs="Arial"/>
        </w:rPr>
        <w:t xml:space="preserve">Following consultation, the Bridge will remain open.  </w:t>
      </w:r>
      <w:r w:rsidR="00CE6FEE">
        <w:rPr>
          <w:rFonts w:cs="Arial"/>
        </w:rPr>
        <w:t>The £500k contribution into the insurance reserve is required as it was necessary to draw down the original £500k</w:t>
      </w:r>
      <w:r w:rsidR="004E62B0">
        <w:rPr>
          <w:rFonts w:cs="Arial"/>
        </w:rPr>
        <w:t xml:space="preserve"> which was in the reserve for </w:t>
      </w:r>
      <w:r w:rsidR="00CE6FEE">
        <w:rPr>
          <w:rFonts w:cs="Arial"/>
        </w:rPr>
        <w:t xml:space="preserve">2015/16.  The addition of £500k will therefore reinstate the reserve to </w:t>
      </w:r>
      <w:r w:rsidR="004E62B0">
        <w:rPr>
          <w:rFonts w:cs="Arial"/>
        </w:rPr>
        <w:t>its</w:t>
      </w:r>
      <w:r w:rsidR="00CE6FEE">
        <w:rPr>
          <w:rFonts w:cs="Arial"/>
        </w:rPr>
        <w:t xml:space="preserve"> original level. </w:t>
      </w:r>
    </w:p>
    <w:p w:rsidR="006D2871" w:rsidRPr="000760C3" w:rsidRDefault="006D2871" w:rsidP="003824AA">
      <w:pPr>
        <w:pStyle w:val="ListParagraph"/>
        <w:tabs>
          <w:tab w:val="num" w:pos="561"/>
        </w:tabs>
        <w:ind w:left="561" w:right="304"/>
        <w:jc w:val="both"/>
        <w:rPr>
          <w:rFonts w:cs="Arial"/>
        </w:rPr>
      </w:pPr>
    </w:p>
    <w:p w:rsidR="00DC3ACD" w:rsidRPr="004309A2" w:rsidRDefault="006D2871" w:rsidP="003824AA">
      <w:pPr>
        <w:pStyle w:val="ListParagraph"/>
        <w:numPr>
          <w:ilvl w:val="0"/>
          <w:numId w:val="9"/>
        </w:numPr>
        <w:ind w:right="304"/>
        <w:jc w:val="both"/>
        <w:rPr>
          <w:rFonts w:cs="Arial"/>
        </w:rPr>
      </w:pPr>
      <w:r w:rsidRPr="004309A2">
        <w:rPr>
          <w:rFonts w:cs="Arial"/>
        </w:rPr>
        <w:t>All outturn positions detailed in this report are provisional until agreed by Cabinet</w:t>
      </w:r>
      <w:r w:rsidR="00DC3ACD" w:rsidRPr="004309A2">
        <w:rPr>
          <w:rFonts w:cs="Arial"/>
        </w:rPr>
        <w:t xml:space="preserve"> and are subject to minor technical changes, prior to the finalisation of the Statement of Accounts.</w:t>
      </w:r>
    </w:p>
    <w:p w:rsidR="007F4174" w:rsidRDefault="007F4174" w:rsidP="00C767C6">
      <w:pPr>
        <w:tabs>
          <w:tab w:val="num" w:pos="561"/>
        </w:tabs>
        <w:ind w:left="561" w:hanging="561"/>
        <w:jc w:val="both"/>
        <w:rPr>
          <w:b/>
          <w:szCs w:val="24"/>
        </w:rPr>
      </w:pPr>
    </w:p>
    <w:p w:rsidR="005761F6" w:rsidRPr="00810F29" w:rsidRDefault="00D21A7B">
      <w:pPr>
        <w:numPr>
          <w:ilvl w:val="0"/>
          <w:numId w:val="9"/>
        </w:numPr>
        <w:tabs>
          <w:tab w:val="num" w:pos="-187"/>
        </w:tabs>
        <w:spacing w:after="240"/>
        <w:ind w:left="426" w:hanging="412"/>
        <w:jc w:val="both"/>
        <w:rPr>
          <w:color w:val="FF0000"/>
          <w:szCs w:val="24"/>
        </w:rPr>
      </w:pPr>
      <w:r w:rsidRPr="007D783C">
        <w:rPr>
          <w:szCs w:val="24"/>
        </w:rPr>
        <w:t>T</w:t>
      </w:r>
      <w:r w:rsidR="00DF7D23" w:rsidRPr="007D783C">
        <w:rPr>
          <w:szCs w:val="24"/>
        </w:rPr>
        <w:t>otal</w:t>
      </w:r>
      <w:r w:rsidRPr="007D783C">
        <w:rPr>
          <w:szCs w:val="24"/>
        </w:rPr>
        <w:t xml:space="preserve"> </w:t>
      </w:r>
      <w:r w:rsidR="00DF7D23" w:rsidRPr="007D783C">
        <w:rPr>
          <w:szCs w:val="24"/>
        </w:rPr>
        <w:t xml:space="preserve">spend on the capital programme for the year </w:t>
      </w:r>
      <w:r w:rsidR="00E12326" w:rsidRPr="007D783C">
        <w:rPr>
          <w:szCs w:val="24"/>
        </w:rPr>
        <w:t>is</w:t>
      </w:r>
      <w:r w:rsidR="00DF7D23" w:rsidRPr="007D783C">
        <w:rPr>
          <w:szCs w:val="24"/>
        </w:rPr>
        <w:t xml:space="preserve"> £</w:t>
      </w:r>
      <w:r w:rsidR="00326E02" w:rsidRPr="00074EF4">
        <w:rPr>
          <w:szCs w:val="24"/>
        </w:rPr>
        <w:t>93.</w:t>
      </w:r>
      <w:r w:rsidR="007B4AF8" w:rsidRPr="00074EF4">
        <w:rPr>
          <w:szCs w:val="24"/>
        </w:rPr>
        <w:t>2</w:t>
      </w:r>
      <w:r w:rsidR="00A47197" w:rsidRPr="007D783C">
        <w:rPr>
          <w:szCs w:val="24"/>
        </w:rPr>
        <w:t>m</w:t>
      </w:r>
      <w:r w:rsidR="007B4AF8" w:rsidRPr="00074EF4">
        <w:rPr>
          <w:szCs w:val="24"/>
        </w:rPr>
        <w:t xml:space="preserve"> against a budget of £156.9m, giving a variance of £63.7m.</w:t>
      </w:r>
      <w:r w:rsidR="00DF7D23" w:rsidRPr="007D783C">
        <w:rPr>
          <w:szCs w:val="24"/>
        </w:rPr>
        <w:t xml:space="preserve"> </w:t>
      </w:r>
      <w:r w:rsidR="007D783C">
        <w:rPr>
          <w:szCs w:val="24"/>
        </w:rPr>
        <w:t xml:space="preserve">The variance of £63.7m is made up of </w:t>
      </w:r>
      <w:r w:rsidR="007B4AF8" w:rsidRPr="007D783C">
        <w:rPr>
          <w:szCs w:val="24"/>
        </w:rPr>
        <w:t xml:space="preserve">total </w:t>
      </w:r>
      <w:r w:rsidR="00DD0C4A" w:rsidRPr="007D783C">
        <w:rPr>
          <w:szCs w:val="24"/>
        </w:rPr>
        <w:t xml:space="preserve">slippage of </w:t>
      </w:r>
      <w:r w:rsidR="007B4AF8" w:rsidRPr="007D783C">
        <w:rPr>
          <w:szCs w:val="24"/>
        </w:rPr>
        <w:t>£5</w:t>
      </w:r>
      <w:r w:rsidR="00F51289">
        <w:rPr>
          <w:szCs w:val="24"/>
        </w:rPr>
        <w:t>8</w:t>
      </w:r>
      <w:r w:rsidR="007B4AF8" w:rsidRPr="007D783C">
        <w:rPr>
          <w:szCs w:val="24"/>
        </w:rPr>
        <w:t xml:space="preserve">m </w:t>
      </w:r>
      <w:r w:rsidR="007D783C">
        <w:rPr>
          <w:szCs w:val="24"/>
        </w:rPr>
        <w:t xml:space="preserve">which will be carried forward into 2016/17 </w:t>
      </w:r>
      <w:r w:rsidR="007B4AF8" w:rsidRPr="007D783C">
        <w:rPr>
          <w:szCs w:val="24"/>
        </w:rPr>
        <w:t>and underspends of £</w:t>
      </w:r>
      <w:r w:rsidR="00F51289">
        <w:rPr>
          <w:szCs w:val="24"/>
        </w:rPr>
        <w:t>5</w:t>
      </w:r>
      <w:r w:rsidR="009834F0">
        <w:rPr>
          <w:szCs w:val="24"/>
        </w:rPr>
        <w:t>.7</w:t>
      </w:r>
      <w:r w:rsidR="007B4AF8" w:rsidRPr="007D783C">
        <w:rPr>
          <w:szCs w:val="24"/>
        </w:rPr>
        <w:t>m.</w:t>
      </w:r>
      <w:r w:rsidR="00CE6FEE">
        <w:rPr>
          <w:szCs w:val="24"/>
        </w:rPr>
        <w:t xml:space="preserve"> With regard to the underspend of £5.7m, only £457k of this was a</w:t>
      </w:r>
      <w:r w:rsidR="00036A13">
        <w:rPr>
          <w:szCs w:val="24"/>
        </w:rPr>
        <w:t>n</w:t>
      </w:r>
      <w:r w:rsidR="00CE6FEE">
        <w:rPr>
          <w:szCs w:val="24"/>
        </w:rPr>
        <w:t xml:space="preserve"> underspend which </w:t>
      </w:r>
      <w:r w:rsidR="00036A13">
        <w:rPr>
          <w:szCs w:val="24"/>
        </w:rPr>
        <w:t xml:space="preserve">led to </w:t>
      </w:r>
      <w:r w:rsidR="00CE6FEE">
        <w:rPr>
          <w:szCs w:val="24"/>
        </w:rPr>
        <w:t xml:space="preserve">a reduction in </w:t>
      </w:r>
      <w:r w:rsidR="00036A13">
        <w:rPr>
          <w:szCs w:val="24"/>
        </w:rPr>
        <w:t xml:space="preserve">the amount of </w:t>
      </w:r>
      <w:r w:rsidR="00CE6FEE">
        <w:rPr>
          <w:szCs w:val="24"/>
        </w:rPr>
        <w:t xml:space="preserve">borrowing </w:t>
      </w:r>
      <w:r w:rsidR="00036A13">
        <w:rPr>
          <w:szCs w:val="24"/>
        </w:rPr>
        <w:t xml:space="preserve">required </w:t>
      </w:r>
      <w:r w:rsidR="004E62B0">
        <w:rPr>
          <w:szCs w:val="24"/>
        </w:rPr>
        <w:t>(see paragraph 33</w:t>
      </w:r>
      <w:r w:rsidR="00CE6FEE">
        <w:rPr>
          <w:szCs w:val="24"/>
        </w:rPr>
        <w:t xml:space="preserve"> for more detail).</w:t>
      </w:r>
      <w:r w:rsidR="007D783C" w:rsidRPr="007D783C">
        <w:rPr>
          <w:szCs w:val="24"/>
        </w:rPr>
        <w:t xml:space="preserve"> </w:t>
      </w:r>
      <w:r w:rsidR="007D783C">
        <w:rPr>
          <w:szCs w:val="24"/>
        </w:rPr>
        <w:t xml:space="preserve">More </w:t>
      </w:r>
      <w:r w:rsidR="00036A13">
        <w:rPr>
          <w:szCs w:val="24"/>
        </w:rPr>
        <w:t xml:space="preserve">detail on the Capital variances </w:t>
      </w:r>
      <w:r w:rsidR="007D783C">
        <w:rPr>
          <w:szCs w:val="24"/>
        </w:rPr>
        <w:t>is included in table 4, including the split between the general fund and the HRA.</w:t>
      </w:r>
      <w:r w:rsidR="00FB11AF" w:rsidRPr="00074EF4">
        <w:rPr>
          <w:color w:val="7030A0"/>
          <w:szCs w:val="24"/>
        </w:rPr>
        <w:t xml:space="preserve"> </w:t>
      </w:r>
    </w:p>
    <w:p w:rsidR="00FA23DE" w:rsidRPr="0057184D" w:rsidRDefault="005761F6" w:rsidP="003824AA">
      <w:pPr>
        <w:tabs>
          <w:tab w:val="left" w:pos="567"/>
        </w:tabs>
        <w:jc w:val="both"/>
        <w:rPr>
          <w:b/>
          <w:szCs w:val="24"/>
        </w:rPr>
      </w:pPr>
      <w:r>
        <w:rPr>
          <w:szCs w:val="24"/>
        </w:rPr>
        <w:t xml:space="preserve"> </w:t>
      </w:r>
      <w:r w:rsidR="00713DCF">
        <w:rPr>
          <w:szCs w:val="24"/>
        </w:rPr>
        <w:tab/>
      </w:r>
      <w:r w:rsidR="00F92295">
        <w:rPr>
          <w:b/>
          <w:szCs w:val="24"/>
        </w:rPr>
        <w:t>REVENUE OUTTURN</w:t>
      </w:r>
    </w:p>
    <w:p w:rsidR="000741D7" w:rsidRPr="000F0C4F" w:rsidRDefault="005F064C" w:rsidP="0087231C">
      <w:pPr>
        <w:pStyle w:val="ListParagraph"/>
        <w:numPr>
          <w:ilvl w:val="0"/>
          <w:numId w:val="9"/>
        </w:numPr>
        <w:ind w:right="304"/>
        <w:jc w:val="both"/>
        <w:rPr>
          <w:rFonts w:cs="Arial"/>
        </w:rPr>
      </w:pPr>
      <w:r w:rsidRPr="000F0C4F">
        <w:rPr>
          <w:rFonts w:cs="Arial"/>
        </w:rPr>
        <w:t xml:space="preserve">The </w:t>
      </w:r>
      <w:r w:rsidR="001964C4" w:rsidRPr="000F0C4F">
        <w:rPr>
          <w:rFonts w:cs="Arial"/>
        </w:rPr>
        <w:t xml:space="preserve">revenue </w:t>
      </w:r>
      <w:r w:rsidRPr="000F0C4F">
        <w:rPr>
          <w:rFonts w:cs="Arial"/>
        </w:rPr>
        <w:t xml:space="preserve">outturn </w:t>
      </w:r>
      <w:r w:rsidR="008421AB">
        <w:rPr>
          <w:rFonts w:cs="Arial"/>
        </w:rPr>
        <w:t xml:space="preserve">on General Fund </w:t>
      </w:r>
      <w:r w:rsidRPr="000F0C4F">
        <w:rPr>
          <w:rFonts w:cs="Arial"/>
        </w:rPr>
        <w:t xml:space="preserve">for the Council </w:t>
      </w:r>
      <w:r w:rsidR="00956227" w:rsidRPr="000F0C4F">
        <w:rPr>
          <w:rFonts w:cs="Arial"/>
        </w:rPr>
        <w:t>after transfer</w:t>
      </w:r>
      <w:r w:rsidR="00980F9C" w:rsidRPr="000F0C4F">
        <w:rPr>
          <w:rFonts w:cs="Arial"/>
        </w:rPr>
        <w:t>s</w:t>
      </w:r>
      <w:r w:rsidR="00956227" w:rsidRPr="000F0C4F">
        <w:rPr>
          <w:rFonts w:cs="Arial"/>
        </w:rPr>
        <w:t xml:space="preserve"> to </w:t>
      </w:r>
      <w:r w:rsidR="001964C4" w:rsidRPr="000F0C4F">
        <w:rPr>
          <w:rFonts w:cs="Arial"/>
        </w:rPr>
        <w:t xml:space="preserve">ear marked </w:t>
      </w:r>
      <w:r w:rsidR="00956227" w:rsidRPr="000F0C4F">
        <w:rPr>
          <w:rFonts w:cs="Arial"/>
        </w:rPr>
        <w:t xml:space="preserve">reserves </w:t>
      </w:r>
      <w:r w:rsidR="00D206F2" w:rsidRPr="000F0C4F">
        <w:rPr>
          <w:rFonts w:cs="Arial"/>
        </w:rPr>
        <w:t>for the financial year 201</w:t>
      </w:r>
      <w:r w:rsidR="0008561D">
        <w:rPr>
          <w:rFonts w:cs="Arial"/>
        </w:rPr>
        <w:t>5</w:t>
      </w:r>
      <w:r w:rsidR="00E12326" w:rsidRPr="000F0C4F">
        <w:rPr>
          <w:rFonts w:cs="Arial"/>
        </w:rPr>
        <w:t>/1</w:t>
      </w:r>
      <w:r w:rsidR="0008561D">
        <w:rPr>
          <w:rFonts w:cs="Arial"/>
        </w:rPr>
        <w:t>6</w:t>
      </w:r>
      <w:r w:rsidR="00D206F2" w:rsidRPr="000F0C4F">
        <w:rPr>
          <w:rFonts w:cs="Arial"/>
        </w:rPr>
        <w:t xml:space="preserve"> </w:t>
      </w:r>
      <w:r w:rsidR="00980F9C" w:rsidRPr="000F0C4F">
        <w:rPr>
          <w:rFonts w:cs="Arial"/>
        </w:rPr>
        <w:t xml:space="preserve">is nil </w:t>
      </w:r>
      <w:r w:rsidRPr="000F0C4F">
        <w:rPr>
          <w:rFonts w:cs="Arial"/>
        </w:rPr>
        <w:t>against the approved budget of £</w:t>
      </w:r>
      <w:r w:rsidR="00980F9C" w:rsidRPr="00512152">
        <w:rPr>
          <w:rFonts w:cs="Arial"/>
        </w:rPr>
        <w:t>1</w:t>
      </w:r>
      <w:r w:rsidR="00C11F21" w:rsidRPr="00074EF4">
        <w:rPr>
          <w:rFonts w:cs="Arial"/>
        </w:rPr>
        <w:t>67.381</w:t>
      </w:r>
      <w:r w:rsidR="00980F9C" w:rsidRPr="00512152">
        <w:rPr>
          <w:rFonts w:cs="Arial"/>
        </w:rPr>
        <w:t xml:space="preserve">m, </w:t>
      </w:r>
      <w:r w:rsidR="00980F9C" w:rsidRPr="000F0C4F">
        <w:rPr>
          <w:rFonts w:cs="Arial"/>
        </w:rPr>
        <w:t>and there is no addition or reduction to general reserves</w:t>
      </w:r>
      <w:r w:rsidR="001964C4" w:rsidRPr="000F0C4F">
        <w:rPr>
          <w:rFonts w:cs="Arial"/>
        </w:rPr>
        <w:t xml:space="preserve">.  </w:t>
      </w:r>
    </w:p>
    <w:p w:rsidR="00CB4A78" w:rsidRDefault="00CB4A78" w:rsidP="00FA23DE">
      <w:pPr>
        <w:ind w:left="360"/>
        <w:rPr>
          <w:rFonts w:cs="Arial"/>
        </w:rPr>
      </w:pPr>
    </w:p>
    <w:p w:rsidR="00696FC4" w:rsidRPr="003824AA" w:rsidRDefault="00512152">
      <w:pPr>
        <w:rPr>
          <w:rFonts w:cs="Arial"/>
          <w:b/>
        </w:rPr>
      </w:pPr>
      <w:r w:rsidRPr="00074EF4">
        <w:rPr>
          <w:rFonts w:cs="Arial"/>
        </w:rPr>
        <w:t xml:space="preserve"> </w:t>
      </w:r>
      <w:r w:rsidR="00696FC4" w:rsidRPr="003824AA">
        <w:rPr>
          <w:rFonts w:cs="Arial"/>
          <w:b/>
        </w:rPr>
        <w:t xml:space="preserve">Table 1 </w:t>
      </w:r>
      <w:r w:rsidR="00F0007A" w:rsidRPr="003824AA">
        <w:rPr>
          <w:rFonts w:cs="Arial"/>
          <w:b/>
        </w:rPr>
        <w:t>Revenue Outturn 201</w:t>
      </w:r>
      <w:r w:rsidR="0008561D" w:rsidRPr="003824AA">
        <w:rPr>
          <w:rFonts w:cs="Arial"/>
          <w:b/>
        </w:rPr>
        <w:t>5</w:t>
      </w:r>
      <w:r w:rsidR="00F0007A" w:rsidRPr="003824AA">
        <w:rPr>
          <w:rFonts w:cs="Arial"/>
          <w:b/>
        </w:rPr>
        <w:t>/1</w:t>
      </w:r>
      <w:r w:rsidR="0008561D" w:rsidRPr="003824AA">
        <w:rPr>
          <w:rFonts w:cs="Arial"/>
          <w:b/>
        </w:rPr>
        <w:t>6</w:t>
      </w:r>
      <w:r w:rsidR="00F0007A" w:rsidRPr="003824AA">
        <w:rPr>
          <w:rFonts w:cs="Arial"/>
          <w:b/>
        </w:rPr>
        <w:t xml:space="preserve"> Summary</w:t>
      </w:r>
    </w:p>
    <w:tbl>
      <w:tblPr>
        <w:tblW w:w="8900" w:type="dxa"/>
        <w:tblInd w:w="103" w:type="dxa"/>
        <w:tblLook w:val="04A0" w:firstRow="1" w:lastRow="0" w:firstColumn="1" w:lastColumn="0" w:noHBand="0" w:noVBand="1"/>
      </w:tblPr>
      <w:tblGrid>
        <w:gridCol w:w="898"/>
        <w:gridCol w:w="2462"/>
        <w:gridCol w:w="1109"/>
        <w:gridCol w:w="1187"/>
        <w:gridCol w:w="161"/>
        <w:gridCol w:w="806"/>
        <w:gridCol w:w="387"/>
        <w:gridCol w:w="236"/>
        <w:gridCol w:w="433"/>
        <w:gridCol w:w="254"/>
        <w:gridCol w:w="488"/>
        <w:gridCol w:w="479"/>
        <w:gridCol w:w="503"/>
      </w:tblGrid>
      <w:tr w:rsidR="0026578D" w:rsidRPr="0026578D" w:rsidTr="00074EF4">
        <w:trPr>
          <w:gridAfter w:val="1"/>
          <w:wAfter w:w="503" w:type="dxa"/>
          <w:trHeight w:val="420"/>
        </w:trPr>
        <w:tc>
          <w:tcPr>
            <w:tcW w:w="89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Original Budget</w:t>
            </w:r>
          </w:p>
        </w:tc>
        <w:tc>
          <w:tcPr>
            <w:tcW w:w="246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Directorate</w:t>
            </w:r>
          </w:p>
        </w:tc>
        <w:tc>
          <w:tcPr>
            <w:tcW w:w="110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 xml:space="preserve">Latest Budget </w:t>
            </w:r>
          </w:p>
        </w:tc>
        <w:tc>
          <w:tcPr>
            <w:tcW w:w="118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 xml:space="preserve"> Provisional Outturn </w:t>
            </w:r>
          </w:p>
        </w:tc>
        <w:tc>
          <w:tcPr>
            <w:tcW w:w="3244" w:type="dxa"/>
            <w:gridSpan w:val="8"/>
            <w:tcBorders>
              <w:top w:val="single" w:sz="4" w:space="0" w:color="auto"/>
              <w:left w:val="nil"/>
              <w:bottom w:val="single" w:sz="4" w:space="0" w:color="auto"/>
              <w:right w:val="single" w:sz="4" w:space="0" w:color="000000"/>
            </w:tcBorders>
            <w:shd w:val="clear" w:color="000000" w:fill="FFFFFF"/>
            <w:vAlign w:val="bottom"/>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 xml:space="preserve"> 2015/16 </w:t>
            </w:r>
          </w:p>
        </w:tc>
      </w:tr>
      <w:tr w:rsidR="0026578D" w:rsidRPr="0026578D" w:rsidTr="00074EF4">
        <w:trPr>
          <w:gridAfter w:val="1"/>
          <w:wAfter w:w="503" w:type="dxa"/>
          <w:trHeight w:val="720"/>
        </w:trPr>
        <w:tc>
          <w:tcPr>
            <w:tcW w:w="898" w:type="dxa"/>
            <w:vMerge/>
            <w:tcBorders>
              <w:top w:val="single" w:sz="4" w:space="0" w:color="auto"/>
              <w:left w:val="single" w:sz="4" w:space="0" w:color="auto"/>
              <w:bottom w:val="single" w:sz="4" w:space="0" w:color="auto"/>
              <w:right w:val="single" w:sz="4" w:space="0" w:color="auto"/>
            </w:tcBorders>
            <w:vAlign w:val="center"/>
            <w:hideMark/>
          </w:tcPr>
          <w:p w:rsidR="0026578D" w:rsidRPr="0026578D" w:rsidRDefault="0026578D" w:rsidP="0026578D">
            <w:pPr>
              <w:rPr>
                <w:rFonts w:cs="Arial"/>
                <w:b/>
                <w:bCs/>
                <w:sz w:val="18"/>
                <w:szCs w:val="18"/>
                <w:lang w:eastAsia="en-GB"/>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26578D" w:rsidRPr="0026578D" w:rsidRDefault="0026578D" w:rsidP="0026578D">
            <w:pPr>
              <w:rPr>
                <w:rFonts w:cs="Arial"/>
                <w:b/>
                <w:bCs/>
                <w:sz w:val="18"/>
                <w:szCs w:val="18"/>
                <w:lang w:eastAsia="en-GB"/>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26578D" w:rsidRPr="0026578D" w:rsidRDefault="0026578D" w:rsidP="0026578D">
            <w:pPr>
              <w:rPr>
                <w:rFonts w:cs="Arial"/>
                <w:b/>
                <w:bCs/>
                <w:sz w:val="18"/>
                <w:szCs w:val="18"/>
                <w:lang w:eastAsia="en-GB"/>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26578D" w:rsidRPr="0026578D" w:rsidRDefault="0026578D" w:rsidP="0026578D">
            <w:pPr>
              <w:rPr>
                <w:rFonts w:cs="Arial"/>
                <w:b/>
                <w:bCs/>
                <w:sz w:val="18"/>
                <w:szCs w:val="18"/>
                <w:lang w:eastAsia="en-GB"/>
              </w:rPr>
            </w:pP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Outturn Variance</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w:t>
            </w:r>
          </w:p>
        </w:tc>
        <w:tc>
          <w:tcPr>
            <w:tcW w:w="687" w:type="dxa"/>
            <w:gridSpan w:val="2"/>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Carry Fwd</w:t>
            </w:r>
          </w:p>
        </w:tc>
        <w:tc>
          <w:tcPr>
            <w:tcW w:w="967" w:type="dxa"/>
            <w:gridSpan w:val="2"/>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Variance adj for Carry Fwd</w:t>
            </w:r>
          </w:p>
        </w:tc>
      </w:tr>
      <w:tr w:rsidR="0026578D" w:rsidRPr="0026578D" w:rsidTr="00074EF4">
        <w:trPr>
          <w:gridAfter w:val="1"/>
          <w:wAfter w:w="503" w:type="dxa"/>
          <w:trHeight w:val="255"/>
        </w:trPr>
        <w:tc>
          <w:tcPr>
            <w:tcW w:w="898" w:type="dxa"/>
            <w:tcBorders>
              <w:top w:val="nil"/>
              <w:left w:val="single" w:sz="4" w:space="0" w:color="auto"/>
              <w:bottom w:val="single" w:sz="4" w:space="0" w:color="auto"/>
              <w:right w:val="single" w:sz="4" w:space="0" w:color="auto"/>
            </w:tcBorders>
            <w:shd w:val="clear" w:color="000000" w:fill="FFFFFF"/>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£000</w:t>
            </w:r>
          </w:p>
        </w:tc>
        <w:tc>
          <w:tcPr>
            <w:tcW w:w="2462" w:type="dxa"/>
            <w:tcBorders>
              <w:top w:val="nil"/>
              <w:left w:val="nil"/>
              <w:bottom w:val="single" w:sz="4" w:space="0" w:color="auto"/>
              <w:right w:val="single" w:sz="4" w:space="0" w:color="auto"/>
            </w:tcBorders>
            <w:shd w:val="clear" w:color="000000" w:fill="FFFFFF"/>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 </w:t>
            </w:r>
          </w:p>
        </w:tc>
        <w:tc>
          <w:tcPr>
            <w:tcW w:w="1109" w:type="dxa"/>
            <w:tcBorders>
              <w:top w:val="nil"/>
              <w:left w:val="nil"/>
              <w:bottom w:val="single" w:sz="4" w:space="0" w:color="auto"/>
              <w:right w:val="single" w:sz="4" w:space="0" w:color="auto"/>
            </w:tcBorders>
            <w:shd w:val="clear" w:color="000000" w:fill="FFFFFF"/>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£000</w:t>
            </w:r>
          </w:p>
        </w:tc>
        <w:tc>
          <w:tcPr>
            <w:tcW w:w="1187" w:type="dxa"/>
            <w:tcBorders>
              <w:top w:val="nil"/>
              <w:left w:val="nil"/>
              <w:bottom w:val="single" w:sz="4" w:space="0" w:color="auto"/>
              <w:right w:val="single" w:sz="4" w:space="0" w:color="auto"/>
            </w:tcBorders>
            <w:shd w:val="clear" w:color="000000" w:fill="FFFFFF"/>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£000</w:t>
            </w:r>
          </w:p>
        </w:tc>
        <w:tc>
          <w:tcPr>
            <w:tcW w:w="967" w:type="dxa"/>
            <w:gridSpan w:val="2"/>
            <w:tcBorders>
              <w:top w:val="nil"/>
              <w:left w:val="nil"/>
              <w:bottom w:val="single" w:sz="4" w:space="0" w:color="auto"/>
              <w:right w:val="single" w:sz="4" w:space="0" w:color="auto"/>
            </w:tcBorders>
            <w:shd w:val="clear" w:color="000000" w:fill="FFFFFF"/>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£000</w:t>
            </w:r>
          </w:p>
        </w:tc>
        <w:tc>
          <w:tcPr>
            <w:tcW w:w="623" w:type="dxa"/>
            <w:gridSpan w:val="2"/>
            <w:tcBorders>
              <w:top w:val="nil"/>
              <w:left w:val="nil"/>
              <w:bottom w:val="single" w:sz="4" w:space="0" w:color="auto"/>
              <w:right w:val="single" w:sz="4" w:space="0" w:color="auto"/>
            </w:tcBorders>
            <w:shd w:val="clear" w:color="000000" w:fill="FFFFFF"/>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 </w:t>
            </w:r>
          </w:p>
        </w:tc>
        <w:tc>
          <w:tcPr>
            <w:tcW w:w="687" w:type="dxa"/>
            <w:gridSpan w:val="2"/>
            <w:tcBorders>
              <w:top w:val="nil"/>
              <w:left w:val="nil"/>
              <w:bottom w:val="single" w:sz="4" w:space="0" w:color="auto"/>
              <w:right w:val="single" w:sz="4" w:space="0" w:color="auto"/>
            </w:tcBorders>
            <w:shd w:val="clear" w:color="000000" w:fill="FFFFFF"/>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£000</w:t>
            </w:r>
          </w:p>
        </w:tc>
        <w:tc>
          <w:tcPr>
            <w:tcW w:w="967" w:type="dxa"/>
            <w:gridSpan w:val="2"/>
            <w:tcBorders>
              <w:top w:val="nil"/>
              <w:left w:val="nil"/>
              <w:bottom w:val="single" w:sz="4" w:space="0" w:color="auto"/>
              <w:right w:val="single" w:sz="4" w:space="0" w:color="auto"/>
            </w:tcBorders>
            <w:shd w:val="clear" w:color="000000" w:fill="FFFFFF"/>
            <w:hideMark/>
          </w:tcPr>
          <w:p w:rsidR="0026578D" w:rsidRPr="0026578D" w:rsidRDefault="0026578D" w:rsidP="0026578D">
            <w:pPr>
              <w:jc w:val="center"/>
              <w:rPr>
                <w:rFonts w:cs="Arial"/>
                <w:b/>
                <w:bCs/>
                <w:sz w:val="18"/>
                <w:szCs w:val="18"/>
                <w:lang w:eastAsia="en-GB"/>
              </w:rPr>
            </w:pPr>
            <w:r w:rsidRPr="0026578D">
              <w:rPr>
                <w:rFonts w:cs="Arial"/>
                <w:b/>
                <w:bCs/>
                <w:sz w:val="18"/>
                <w:szCs w:val="18"/>
                <w:lang w:eastAsia="en-GB"/>
              </w:rPr>
              <w:t>£000</w:t>
            </w:r>
          </w:p>
        </w:tc>
      </w:tr>
      <w:tr w:rsidR="0026578D" w:rsidRPr="0026578D" w:rsidTr="00074EF4">
        <w:trPr>
          <w:gridAfter w:val="1"/>
          <w:wAfter w:w="503" w:type="dxa"/>
          <w:trHeight w:val="285"/>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24,044</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Resources</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21,166</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20,889</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-277</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-1.3</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105</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-172</w:t>
            </w:r>
          </w:p>
        </w:tc>
      </w:tr>
      <w:tr w:rsidR="0026578D" w:rsidRPr="0026578D" w:rsidTr="00074EF4">
        <w:trPr>
          <w:gridAfter w:val="1"/>
          <w:wAfter w:w="503" w:type="dxa"/>
          <w:trHeight w:val="285"/>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43,683</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 xml:space="preserve">Community </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44,248</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45,005</w:t>
            </w:r>
          </w:p>
        </w:tc>
        <w:tc>
          <w:tcPr>
            <w:tcW w:w="967" w:type="dxa"/>
            <w:gridSpan w:val="2"/>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757</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1.7</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153</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910</w:t>
            </w:r>
          </w:p>
        </w:tc>
      </w:tr>
      <w:tr w:rsidR="0026578D" w:rsidRPr="0026578D" w:rsidTr="00074EF4">
        <w:trPr>
          <w:gridAfter w:val="1"/>
          <w:wAfter w:w="503" w:type="dxa"/>
          <w:trHeight w:val="285"/>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104,487</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People</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104,647</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104,584</w:t>
            </w:r>
          </w:p>
        </w:tc>
        <w:tc>
          <w:tcPr>
            <w:tcW w:w="967" w:type="dxa"/>
            <w:gridSpan w:val="2"/>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-63</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-0.1</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1,360</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1,297</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1,281</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Regeneration</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1,992</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1,810</w:t>
            </w:r>
          </w:p>
        </w:tc>
        <w:tc>
          <w:tcPr>
            <w:tcW w:w="967" w:type="dxa"/>
            <w:gridSpan w:val="2"/>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-182</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-9.1</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175</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-7</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2,122</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Business Support</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2,184</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2,838</w:t>
            </w:r>
          </w:p>
        </w:tc>
        <w:tc>
          <w:tcPr>
            <w:tcW w:w="967" w:type="dxa"/>
            <w:gridSpan w:val="2"/>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654</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29.9</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0</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654</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175,617</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b/>
                <w:bCs/>
                <w:sz w:val="18"/>
                <w:szCs w:val="18"/>
                <w:lang w:eastAsia="en-GB"/>
              </w:rPr>
            </w:pPr>
            <w:r w:rsidRPr="0026578D">
              <w:rPr>
                <w:rFonts w:cs="Arial"/>
                <w:b/>
                <w:bCs/>
                <w:sz w:val="18"/>
                <w:szCs w:val="18"/>
                <w:lang w:eastAsia="en-GB"/>
              </w:rPr>
              <w:t>Sub Total Directorate</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174,237</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175,126</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889</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0.5</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1,793</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2,682</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1,320</w:t>
            </w:r>
          </w:p>
        </w:tc>
        <w:tc>
          <w:tcPr>
            <w:tcW w:w="2462" w:type="dxa"/>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Inflation and Corporate Items</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6,674</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5,259</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-1,415</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xml:space="preserve">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-1,415</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1,248</w:t>
            </w:r>
          </w:p>
        </w:tc>
        <w:tc>
          <w:tcPr>
            <w:tcW w:w="2462" w:type="dxa"/>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Contingency</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1,248</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0</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-1,248</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xml:space="preserve">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-1,248</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-4,155</w:t>
            </w:r>
          </w:p>
        </w:tc>
        <w:tc>
          <w:tcPr>
            <w:tcW w:w="2462" w:type="dxa"/>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Capital Financing and Interest</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-4,155</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-4,124</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31</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xml:space="preserve">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31</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-1,588</w:t>
            </w:r>
          </w:p>
        </w:tc>
        <w:tc>
          <w:tcPr>
            <w:tcW w:w="2462" w:type="dxa"/>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Interest on Balances</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-1,588</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-1,757</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-169</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xml:space="preserve">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-169</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-5,061</w:t>
            </w:r>
          </w:p>
        </w:tc>
        <w:tc>
          <w:tcPr>
            <w:tcW w:w="2462" w:type="dxa"/>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Grants</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-6,843</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-7,667</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-824</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xml:space="preserve">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-824</w:t>
            </w:r>
          </w:p>
        </w:tc>
      </w:tr>
      <w:tr w:rsidR="0026578D" w:rsidRPr="0026578D" w:rsidTr="00074EF4">
        <w:trPr>
          <w:gridAfter w:val="1"/>
          <w:wAfter w:w="503" w:type="dxa"/>
          <w:trHeight w:val="255"/>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0</w:t>
            </w:r>
          </w:p>
        </w:tc>
        <w:tc>
          <w:tcPr>
            <w:tcW w:w="2462" w:type="dxa"/>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Carry Forwards from 2014/15</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-1,598</w:t>
            </w:r>
          </w:p>
        </w:tc>
        <w:tc>
          <w:tcPr>
            <w:tcW w:w="1187" w:type="dxa"/>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-1,598</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0</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xml:space="preserve">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0</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0</w:t>
            </w:r>
          </w:p>
        </w:tc>
        <w:tc>
          <w:tcPr>
            <w:tcW w:w="2462" w:type="dxa"/>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Reserves Contribution</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-594</w:t>
            </w:r>
          </w:p>
        </w:tc>
        <w:tc>
          <w:tcPr>
            <w:tcW w:w="1187" w:type="dxa"/>
            <w:tcBorders>
              <w:top w:val="nil"/>
              <w:left w:val="nil"/>
              <w:bottom w:val="single" w:sz="4" w:space="0" w:color="auto"/>
              <w:right w:val="single" w:sz="4" w:space="0" w:color="auto"/>
            </w:tcBorders>
            <w:shd w:val="clear" w:color="auto" w:fill="auto"/>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-526</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68</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xml:space="preserve">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68</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167,381</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b/>
                <w:bCs/>
                <w:sz w:val="18"/>
                <w:szCs w:val="18"/>
                <w:lang w:eastAsia="en-GB"/>
              </w:rPr>
            </w:pPr>
            <w:r w:rsidRPr="0026578D">
              <w:rPr>
                <w:rFonts w:cs="Arial"/>
                <w:b/>
                <w:bCs/>
                <w:sz w:val="18"/>
                <w:szCs w:val="18"/>
                <w:lang w:eastAsia="en-GB"/>
              </w:rPr>
              <w:t>Sub Total</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167,381</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164,713</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-2,668</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1.6</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1,793</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-875</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Contribution to Reserves</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IT implementation reserve</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-1,000</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-1,000</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Welfare Reform Reserve</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1,000</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1,000</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lastRenderedPageBreak/>
              <w:t> </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MTFS Implementation Reserve</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375</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375</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xml:space="preserve"> </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Insurance Reserve</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500</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500</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sz w:val="18"/>
                <w:szCs w:val="18"/>
                <w:lang w:eastAsia="en-GB"/>
              </w:rPr>
            </w:pPr>
            <w:r w:rsidRPr="0026578D">
              <w:rPr>
                <w:rFonts w:cs="Arial"/>
                <w:sz w:val="18"/>
                <w:szCs w:val="18"/>
                <w:lang w:eastAsia="en-GB"/>
              </w:rPr>
              <w:t>Carry Forwards to 2016/17</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1,793</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1,793</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sz w:val="18"/>
                <w:szCs w:val="18"/>
                <w:lang w:eastAsia="en-GB"/>
              </w:rPr>
            </w:pPr>
            <w:r w:rsidRPr="0026578D">
              <w:rPr>
                <w:rFonts w:cs="Arial"/>
                <w:sz w:val="18"/>
                <w:szCs w:val="18"/>
                <w:lang w:eastAsia="en-GB"/>
              </w:rPr>
              <w:t> </w:t>
            </w:r>
          </w:p>
        </w:tc>
      </w:tr>
      <w:tr w:rsidR="0026578D" w:rsidRPr="0026578D" w:rsidTr="00074EF4">
        <w:trPr>
          <w:gridAfter w:val="1"/>
          <w:wAfter w:w="503" w:type="dxa"/>
          <w:trHeight w:val="300"/>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167,381</w:t>
            </w:r>
          </w:p>
        </w:tc>
        <w:tc>
          <w:tcPr>
            <w:tcW w:w="2462"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rPr>
                <w:rFonts w:cs="Arial"/>
                <w:b/>
                <w:bCs/>
                <w:sz w:val="18"/>
                <w:szCs w:val="18"/>
                <w:lang w:eastAsia="en-GB"/>
              </w:rPr>
            </w:pPr>
            <w:r w:rsidRPr="0026578D">
              <w:rPr>
                <w:rFonts w:cs="Arial"/>
                <w:b/>
                <w:bCs/>
                <w:sz w:val="18"/>
                <w:szCs w:val="18"/>
                <w:lang w:eastAsia="en-GB"/>
              </w:rPr>
              <w:t>Total Budget Requirement</w:t>
            </w:r>
          </w:p>
        </w:tc>
        <w:tc>
          <w:tcPr>
            <w:tcW w:w="1109"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167,381</w:t>
            </w:r>
          </w:p>
        </w:tc>
        <w:tc>
          <w:tcPr>
            <w:tcW w:w="1187" w:type="dxa"/>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167,381</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0</w:t>
            </w:r>
          </w:p>
        </w:tc>
        <w:tc>
          <w:tcPr>
            <w:tcW w:w="623"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 xml:space="preserve">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 xml:space="preserve"> </w:t>
            </w:r>
          </w:p>
        </w:tc>
        <w:tc>
          <w:tcPr>
            <w:tcW w:w="967" w:type="dxa"/>
            <w:gridSpan w:val="2"/>
            <w:tcBorders>
              <w:top w:val="nil"/>
              <w:left w:val="nil"/>
              <w:bottom w:val="single" w:sz="4" w:space="0" w:color="auto"/>
              <w:right w:val="single" w:sz="4" w:space="0" w:color="auto"/>
            </w:tcBorders>
            <w:shd w:val="clear" w:color="000000" w:fill="FFFFFF"/>
            <w:vAlign w:val="bottom"/>
            <w:hideMark/>
          </w:tcPr>
          <w:p w:rsidR="0026578D" w:rsidRPr="0026578D" w:rsidRDefault="0026578D" w:rsidP="0026578D">
            <w:pPr>
              <w:jc w:val="right"/>
              <w:rPr>
                <w:rFonts w:cs="Arial"/>
                <w:b/>
                <w:bCs/>
                <w:sz w:val="18"/>
                <w:szCs w:val="18"/>
                <w:lang w:eastAsia="en-GB"/>
              </w:rPr>
            </w:pPr>
            <w:r w:rsidRPr="0026578D">
              <w:rPr>
                <w:rFonts w:cs="Arial"/>
                <w:b/>
                <w:bCs/>
                <w:sz w:val="18"/>
                <w:szCs w:val="18"/>
                <w:lang w:eastAsia="en-GB"/>
              </w:rPr>
              <w:t xml:space="preserve"> </w:t>
            </w:r>
          </w:p>
        </w:tc>
      </w:tr>
      <w:tr w:rsidR="003C421C" w:rsidRPr="003C421C" w:rsidTr="00074EF4">
        <w:trPr>
          <w:trHeight w:val="360"/>
        </w:trPr>
        <w:tc>
          <w:tcPr>
            <w:tcW w:w="5817" w:type="dxa"/>
            <w:gridSpan w:val="5"/>
            <w:tcBorders>
              <w:top w:val="nil"/>
              <w:left w:val="nil"/>
              <w:bottom w:val="nil"/>
              <w:right w:val="nil"/>
            </w:tcBorders>
            <w:shd w:val="clear" w:color="auto" w:fill="auto"/>
            <w:noWrap/>
            <w:vAlign w:val="bottom"/>
            <w:hideMark/>
          </w:tcPr>
          <w:p w:rsidR="003C421C" w:rsidRPr="003C421C" w:rsidRDefault="003C421C" w:rsidP="003C421C">
            <w:pPr>
              <w:rPr>
                <w:rFonts w:cs="Arial"/>
                <w:b/>
                <w:bCs/>
                <w:sz w:val="28"/>
                <w:szCs w:val="28"/>
                <w:lang w:eastAsia="en-GB"/>
              </w:rPr>
            </w:pPr>
          </w:p>
        </w:tc>
        <w:tc>
          <w:tcPr>
            <w:tcW w:w="1193" w:type="dxa"/>
            <w:gridSpan w:val="2"/>
            <w:tcBorders>
              <w:top w:val="nil"/>
              <w:left w:val="nil"/>
              <w:bottom w:val="nil"/>
              <w:right w:val="nil"/>
            </w:tcBorders>
            <w:shd w:val="clear" w:color="auto" w:fill="auto"/>
            <w:noWrap/>
            <w:vAlign w:val="bottom"/>
            <w:hideMark/>
          </w:tcPr>
          <w:p w:rsidR="003C421C" w:rsidRPr="003C421C" w:rsidRDefault="003C421C" w:rsidP="003C421C">
            <w:pPr>
              <w:rPr>
                <w:rFonts w:cs="Arial"/>
                <w:b/>
                <w:bCs/>
                <w:sz w:val="28"/>
                <w:szCs w:val="28"/>
                <w:lang w:eastAsia="en-GB"/>
              </w:rPr>
            </w:pPr>
          </w:p>
        </w:tc>
        <w:tc>
          <w:tcPr>
            <w:tcW w:w="669" w:type="dxa"/>
            <w:gridSpan w:val="2"/>
            <w:tcBorders>
              <w:top w:val="nil"/>
              <w:left w:val="nil"/>
              <w:bottom w:val="nil"/>
              <w:right w:val="nil"/>
            </w:tcBorders>
            <w:shd w:val="clear" w:color="auto" w:fill="auto"/>
            <w:noWrap/>
            <w:vAlign w:val="bottom"/>
            <w:hideMark/>
          </w:tcPr>
          <w:p w:rsidR="003C421C" w:rsidRPr="003C421C" w:rsidRDefault="003C421C" w:rsidP="003C421C">
            <w:pPr>
              <w:rPr>
                <w:rFonts w:cs="Arial"/>
                <w:b/>
                <w:bCs/>
                <w:sz w:val="28"/>
                <w:szCs w:val="28"/>
                <w:lang w:eastAsia="en-GB"/>
              </w:rPr>
            </w:pPr>
          </w:p>
        </w:tc>
        <w:tc>
          <w:tcPr>
            <w:tcW w:w="742" w:type="dxa"/>
            <w:gridSpan w:val="2"/>
            <w:tcBorders>
              <w:top w:val="nil"/>
              <w:left w:val="nil"/>
              <w:bottom w:val="nil"/>
              <w:right w:val="nil"/>
            </w:tcBorders>
            <w:shd w:val="clear" w:color="auto" w:fill="auto"/>
            <w:noWrap/>
            <w:vAlign w:val="bottom"/>
            <w:hideMark/>
          </w:tcPr>
          <w:p w:rsidR="003C421C" w:rsidRPr="003C421C" w:rsidRDefault="003C421C" w:rsidP="003C421C">
            <w:pPr>
              <w:rPr>
                <w:rFonts w:cs="Arial"/>
                <w:b/>
                <w:bCs/>
                <w:sz w:val="28"/>
                <w:szCs w:val="28"/>
                <w:lang w:eastAsia="en-GB"/>
              </w:rPr>
            </w:pPr>
          </w:p>
        </w:tc>
        <w:tc>
          <w:tcPr>
            <w:tcW w:w="982" w:type="dxa"/>
            <w:gridSpan w:val="2"/>
            <w:tcBorders>
              <w:top w:val="nil"/>
              <w:left w:val="nil"/>
              <w:bottom w:val="nil"/>
              <w:right w:val="nil"/>
            </w:tcBorders>
            <w:shd w:val="clear" w:color="auto" w:fill="auto"/>
            <w:noWrap/>
            <w:vAlign w:val="bottom"/>
            <w:hideMark/>
          </w:tcPr>
          <w:p w:rsidR="003C421C" w:rsidRPr="003C421C" w:rsidRDefault="003C421C" w:rsidP="003C421C">
            <w:pPr>
              <w:rPr>
                <w:rFonts w:cs="Arial"/>
                <w:b/>
                <w:bCs/>
                <w:sz w:val="28"/>
                <w:szCs w:val="28"/>
                <w:lang w:eastAsia="en-GB"/>
              </w:rPr>
            </w:pPr>
          </w:p>
        </w:tc>
      </w:tr>
    </w:tbl>
    <w:p w:rsidR="00120AB1" w:rsidRPr="000F0C4F" w:rsidRDefault="00713DCF" w:rsidP="003824AA">
      <w:pPr>
        <w:tabs>
          <w:tab w:val="left" w:pos="426"/>
        </w:tabs>
        <w:rPr>
          <w:rFonts w:cs="Arial"/>
          <w:b/>
        </w:rPr>
      </w:pPr>
      <w:r>
        <w:rPr>
          <w:rFonts w:cs="Arial"/>
        </w:rPr>
        <w:tab/>
      </w:r>
      <w:r w:rsidR="0046757C">
        <w:rPr>
          <w:rFonts w:cs="Arial"/>
          <w:b/>
        </w:rPr>
        <w:t>Directorates’ Position</w:t>
      </w:r>
    </w:p>
    <w:p w:rsidR="00942F9C" w:rsidRDefault="002B6778" w:rsidP="00074EF4">
      <w:pPr>
        <w:pStyle w:val="ListParagraph"/>
        <w:spacing w:after="240"/>
        <w:ind w:left="374" w:right="306"/>
        <w:jc w:val="both"/>
        <w:rPr>
          <w:rFonts w:cs="Arial"/>
        </w:rPr>
      </w:pPr>
      <w:r w:rsidRPr="00C14341">
        <w:rPr>
          <w:rFonts w:cs="Arial"/>
        </w:rPr>
        <w:t xml:space="preserve">The </w:t>
      </w:r>
      <w:r w:rsidR="0084452D" w:rsidRPr="00C14341">
        <w:rPr>
          <w:rFonts w:cs="Arial"/>
        </w:rPr>
        <w:t xml:space="preserve">outturn for the Directorates is </w:t>
      </w:r>
      <w:r w:rsidR="003C6D61" w:rsidRPr="00C14341">
        <w:rPr>
          <w:rFonts w:cs="Arial"/>
        </w:rPr>
        <w:t>a</w:t>
      </w:r>
      <w:r w:rsidR="00F5400A">
        <w:rPr>
          <w:rFonts w:cs="Arial"/>
        </w:rPr>
        <w:t xml:space="preserve"> net</w:t>
      </w:r>
      <w:r w:rsidR="003C6D61" w:rsidRPr="00C14341">
        <w:rPr>
          <w:rFonts w:cs="Arial"/>
        </w:rPr>
        <w:t xml:space="preserve"> </w:t>
      </w:r>
      <w:r w:rsidR="00C11F21" w:rsidRPr="00C14341">
        <w:rPr>
          <w:rFonts w:cs="Arial"/>
        </w:rPr>
        <w:t xml:space="preserve">over </w:t>
      </w:r>
      <w:r w:rsidR="003C6D61" w:rsidRPr="00C14341">
        <w:rPr>
          <w:rFonts w:cs="Arial"/>
        </w:rPr>
        <w:t xml:space="preserve">spend of </w:t>
      </w:r>
      <w:r w:rsidR="0084452D" w:rsidRPr="00C14341">
        <w:rPr>
          <w:rFonts w:cs="Arial"/>
        </w:rPr>
        <w:t>£</w:t>
      </w:r>
      <w:r w:rsidR="00C11F21" w:rsidRPr="00C14341">
        <w:rPr>
          <w:rFonts w:cs="Arial"/>
        </w:rPr>
        <w:t>0.8</w:t>
      </w:r>
      <w:r w:rsidR="00512152">
        <w:rPr>
          <w:rFonts w:cs="Arial"/>
        </w:rPr>
        <w:t>89</w:t>
      </w:r>
      <w:r w:rsidR="009870D0" w:rsidRPr="00C14341">
        <w:rPr>
          <w:rFonts w:cs="Arial"/>
        </w:rPr>
        <w:t>m</w:t>
      </w:r>
      <w:r w:rsidR="00BB1532">
        <w:rPr>
          <w:rFonts w:cs="Arial"/>
        </w:rPr>
        <w:t xml:space="preserve">.  The </w:t>
      </w:r>
      <w:r w:rsidR="00F5400A">
        <w:rPr>
          <w:rFonts w:cs="Arial"/>
        </w:rPr>
        <w:t>net overspend of £0.889m</w:t>
      </w:r>
      <w:r w:rsidR="00BB1532">
        <w:rPr>
          <w:rFonts w:cs="Arial"/>
        </w:rPr>
        <w:t xml:space="preserve"> </w:t>
      </w:r>
      <w:r w:rsidR="004E62B0">
        <w:rPr>
          <w:rFonts w:cs="Arial"/>
        </w:rPr>
        <w:t xml:space="preserve">is net of the </w:t>
      </w:r>
      <w:r w:rsidR="00F5400A">
        <w:rPr>
          <w:rFonts w:cs="Arial"/>
        </w:rPr>
        <w:t>carry forward of £1.793m</w:t>
      </w:r>
      <w:r w:rsidR="004E62B0">
        <w:rPr>
          <w:rFonts w:cs="Arial"/>
        </w:rPr>
        <w:t>.  If the carry forwards are excluded t</w:t>
      </w:r>
      <w:r w:rsidR="00F5400A">
        <w:rPr>
          <w:rFonts w:cs="Arial"/>
        </w:rPr>
        <w:t xml:space="preserve">he overspend </w:t>
      </w:r>
      <w:r w:rsidR="004E62B0">
        <w:rPr>
          <w:rFonts w:cs="Arial"/>
        </w:rPr>
        <w:t xml:space="preserve">increases </w:t>
      </w:r>
      <w:r w:rsidR="00F5400A">
        <w:rPr>
          <w:rFonts w:cs="Arial"/>
        </w:rPr>
        <w:t>to £2.682m.</w:t>
      </w:r>
      <w:r w:rsidR="003718A4" w:rsidRPr="00C14341">
        <w:rPr>
          <w:rFonts w:cs="Arial"/>
        </w:rPr>
        <w:t xml:space="preserve">  </w:t>
      </w:r>
      <w:r w:rsidR="005846D7" w:rsidRPr="00C14341">
        <w:rPr>
          <w:rFonts w:cs="Arial"/>
        </w:rPr>
        <w:t>The position for each directorate is summarised below</w:t>
      </w:r>
      <w:r w:rsidR="00C14341" w:rsidRPr="00C14341">
        <w:rPr>
          <w:rFonts w:cs="Arial"/>
        </w:rPr>
        <w:t>:</w:t>
      </w:r>
      <w:r w:rsidR="005846D7" w:rsidRPr="00C14341">
        <w:rPr>
          <w:rFonts w:cs="Arial"/>
        </w:rPr>
        <w:t xml:space="preserve"> </w:t>
      </w:r>
    </w:p>
    <w:p w:rsidR="00C14341" w:rsidRPr="000F0C4F" w:rsidRDefault="00C14341" w:rsidP="00074EF4">
      <w:pPr>
        <w:pStyle w:val="ListParagraph"/>
        <w:spacing w:after="240"/>
        <w:ind w:left="374" w:right="306"/>
        <w:jc w:val="both"/>
        <w:rPr>
          <w:rFonts w:cs="Arial"/>
          <w:b/>
        </w:rPr>
      </w:pPr>
    </w:p>
    <w:p w:rsidR="00120AB1" w:rsidRDefault="00120AB1" w:rsidP="00074EF4">
      <w:pPr>
        <w:pStyle w:val="ListParagraph"/>
        <w:spacing w:after="240"/>
        <w:ind w:left="374" w:right="306"/>
        <w:jc w:val="both"/>
        <w:rPr>
          <w:rFonts w:cs="Arial"/>
          <w:b/>
        </w:rPr>
      </w:pPr>
      <w:r w:rsidRPr="00C14341">
        <w:rPr>
          <w:rFonts w:cs="Arial"/>
          <w:b/>
        </w:rPr>
        <w:t>Resources</w:t>
      </w:r>
    </w:p>
    <w:p w:rsidR="003D307F" w:rsidRDefault="003D307F" w:rsidP="00074EF4">
      <w:pPr>
        <w:pStyle w:val="ListParagraph"/>
        <w:spacing w:after="240"/>
        <w:ind w:left="374" w:right="306"/>
        <w:jc w:val="both"/>
        <w:rPr>
          <w:rFonts w:cs="Arial"/>
          <w:b/>
        </w:rPr>
      </w:pPr>
    </w:p>
    <w:p w:rsidR="009870D0" w:rsidRPr="000F0C4F" w:rsidRDefault="009870D0" w:rsidP="0087231C">
      <w:pPr>
        <w:pStyle w:val="ListParagraph"/>
        <w:numPr>
          <w:ilvl w:val="0"/>
          <w:numId w:val="9"/>
        </w:numPr>
        <w:spacing w:after="240"/>
        <w:ind w:right="306"/>
        <w:jc w:val="both"/>
        <w:rPr>
          <w:rFonts w:cs="Arial"/>
        </w:rPr>
      </w:pPr>
      <w:r w:rsidRPr="000F0C4F">
        <w:rPr>
          <w:rFonts w:cs="Arial"/>
        </w:rPr>
        <w:t>The outturn position for Resources is an under spend of £</w:t>
      </w:r>
      <w:r w:rsidR="00512152">
        <w:rPr>
          <w:rFonts w:cs="Arial"/>
        </w:rPr>
        <w:t>277</w:t>
      </w:r>
      <w:r w:rsidR="00586A10">
        <w:rPr>
          <w:rFonts w:cs="Arial"/>
        </w:rPr>
        <w:t>k</w:t>
      </w:r>
      <w:r w:rsidRPr="000F0C4F">
        <w:rPr>
          <w:rFonts w:cs="Arial"/>
        </w:rPr>
        <w:t xml:space="preserve">.  </w:t>
      </w:r>
      <w:r w:rsidR="00773B20">
        <w:rPr>
          <w:rFonts w:cs="Arial"/>
        </w:rPr>
        <w:t xml:space="preserve">After allowing for the recommended carry forwards of £105k, the net underspend of £277k will be £172k.  </w:t>
      </w:r>
      <w:r w:rsidRPr="000F0C4F">
        <w:rPr>
          <w:rFonts w:cs="Arial"/>
        </w:rPr>
        <w:t xml:space="preserve">The key reasons </w:t>
      </w:r>
      <w:r w:rsidR="00773B20">
        <w:rPr>
          <w:rFonts w:cs="Arial"/>
        </w:rPr>
        <w:t xml:space="preserve">for the variance </w:t>
      </w:r>
      <w:r w:rsidRPr="000F0C4F">
        <w:rPr>
          <w:rFonts w:cs="Arial"/>
        </w:rPr>
        <w:t>are detailed below:</w:t>
      </w:r>
    </w:p>
    <w:p w:rsidR="008951A6" w:rsidRPr="00074EF4" w:rsidRDefault="009870D0" w:rsidP="00A83ACC">
      <w:pPr>
        <w:spacing w:after="240"/>
        <w:ind w:left="851" w:right="306" w:hanging="290"/>
        <w:jc w:val="both"/>
        <w:rPr>
          <w:rFonts w:cs="Arial"/>
        </w:rPr>
      </w:pPr>
      <w:r>
        <w:rPr>
          <w:rFonts w:cs="Arial"/>
        </w:rPr>
        <w:t>●</w:t>
      </w:r>
      <w:r>
        <w:rPr>
          <w:rFonts w:cs="Arial"/>
        </w:rPr>
        <w:tab/>
      </w:r>
      <w:r w:rsidR="002E06B3" w:rsidRPr="002E06B3">
        <w:rPr>
          <w:rFonts w:cs="Arial"/>
        </w:rPr>
        <w:t xml:space="preserve">Human Resources - £271k underspend – this is made up of </w:t>
      </w:r>
      <w:r w:rsidR="002E06B3" w:rsidRPr="00074EF4">
        <w:rPr>
          <w:rFonts w:cs="Arial"/>
        </w:rPr>
        <w:t>s</w:t>
      </w:r>
      <w:r w:rsidR="008951A6" w:rsidRPr="00074EF4">
        <w:rPr>
          <w:rFonts w:cs="Arial"/>
        </w:rPr>
        <w:t xml:space="preserve">avings on National Insurance </w:t>
      </w:r>
      <w:r w:rsidR="006606B2" w:rsidRPr="00074EF4">
        <w:rPr>
          <w:rFonts w:cs="Arial"/>
        </w:rPr>
        <w:t xml:space="preserve">accruing to the council from salary sacrifice, </w:t>
      </w:r>
      <w:r w:rsidR="008951A6" w:rsidRPr="00074EF4">
        <w:rPr>
          <w:rFonts w:cs="Arial"/>
        </w:rPr>
        <w:t>unfilled vacanc</w:t>
      </w:r>
      <w:r w:rsidR="002E06B3" w:rsidRPr="00074EF4">
        <w:rPr>
          <w:rFonts w:cs="Arial"/>
        </w:rPr>
        <w:t>ies</w:t>
      </w:r>
      <w:r w:rsidR="008951A6" w:rsidRPr="00074EF4">
        <w:rPr>
          <w:rFonts w:cs="Arial"/>
        </w:rPr>
        <w:t xml:space="preserve"> </w:t>
      </w:r>
      <w:r w:rsidR="006606B2" w:rsidRPr="00074EF4">
        <w:rPr>
          <w:rFonts w:cs="Arial"/>
        </w:rPr>
        <w:t xml:space="preserve">and </w:t>
      </w:r>
      <w:r w:rsidR="002E06B3" w:rsidRPr="00074EF4">
        <w:rPr>
          <w:rFonts w:cs="Arial"/>
        </w:rPr>
        <w:t xml:space="preserve">the </w:t>
      </w:r>
      <w:r w:rsidR="008951A6" w:rsidRPr="00074EF4">
        <w:rPr>
          <w:rFonts w:cs="Arial"/>
        </w:rPr>
        <w:t>operational budget</w:t>
      </w:r>
      <w:r w:rsidR="006606B2" w:rsidRPr="00074EF4">
        <w:rPr>
          <w:rFonts w:cs="Arial"/>
        </w:rPr>
        <w:t xml:space="preserve"> that was not</w:t>
      </w:r>
      <w:r w:rsidR="00586A10">
        <w:rPr>
          <w:rFonts w:cs="Arial"/>
        </w:rPr>
        <w:t xml:space="preserve"> applied</w:t>
      </w:r>
      <w:r w:rsidR="006606B2" w:rsidRPr="00074EF4">
        <w:rPr>
          <w:rFonts w:cs="Arial"/>
        </w:rPr>
        <w:t xml:space="preserve"> in 15/16</w:t>
      </w:r>
      <w:r w:rsidR="002E06B3" w:rsidRPr="00074EF4">
        <w:rPr>
          <w:rFonts w:cs="Arial"/>
        </w:rPr>
        <w:t>.</w:t>
      </w:r>
    </w:p>
    <w:p w:rsidR="009D4182" w:rsidRDefault="002E06B3" w:rsidP="00074EF4">
      <w:pPr>
        <w:pStyle w:val="ListParagraph"/>
        <w:numPr>
          <w:ilvl w:val="0"/>
          <w:numId w:val="46"/>
        </w:numPr>
        <w:spacing w:after="240"/>
        <w:ind w:left="851" w:right="306"/>
        <w:jc w:val="both"/>
        <w:rPr>
          <w:rFonts w:cs="Arial"/>
        </w:rPr>
      </w:pPr>
      <w:r w:rsidRPr="00074EF4">
        <w:rPr>
          <w:rFonts w:cs="Arial"/>
        </w:rPr>
        <w:t xml:space="preserve">Strategic Commissioning - £215k underspend </w:t>
      </w:r>
      <w:r w:rsidR="000D1AA2" w:rsidRPr="00074EF4">
        <w:rPr>
          <w:rFonts w:cs="Arial"/>
        </w:rPr>
        <w:t>–</w:t>
      </w:r>
      <w:r w:rsidRPr="00074EF4">
        <w:rPr>
          <w:rFonts w:cs="Arial"/>
        </w:rPr>
        <w:t xml:space="preserve"> </w:t>
      </w:r>
      <w:r w:rsidR="000D1AA2" w:rsidRPr="00074EF4">
        <w:rPr>
          <w:rFonts w:cs="Arial"/>
        </w:rPr>
        <w:t xml:space="preserve">there were staff </w:t>
      </w:r>
      <w:r w:rsidR="00586A10">
        <w:rPr>
          <w:rFonts w:cs="Arial"/>
        </w:rPr>
        <w:t>vacancies</w:t>
      </w:r>
      <w:r w:rsidR="000D1AA2" w:rsidRPr="00074EF4">
        <w:rPr>
          <w:rFonts w:cs="Arial"/>
        </w:rPr>
        <w:t xml:space="preserve"> as a result of</w:t>
      </w:r>
      <w:r w:rsidR="00EF3353" w:rsidRPr="00074EF4">
        <w:rPr>
          <w:rFonts w:cs="Arial"/>
        </w:rPr>
        <w:t xml:space="preserve"> 16/17 MTFS savings across the division and additional income from </w:t>
      </w:r>
      <w:r w:rsidR="00511C28" w:rsidRPr="00074EF4">
        <w:rPr>
          <w:rFonts w:cs="Arial"/>
        </w:rPr>
        <w:t>the SIMS team together with a</w:t>
      </w:r>
      <w:r w:rsidR="00EF3353" w:rsidRPr="00074EF4">
        <w:rPr>
          <w:rFonts w:cs="Arial"/>
        </w:rPr>
        <w:t xml:space="preserve"> one off accrual that did not materialise</w:t>
      </w:r>
      <w:r w:rsidR="000D1AA2" w:rsidRPr="00074EF4">
        <w:rPr>
          <w:rFonts w:cs="Arial"/>
        </w:rPr>
        <w:t>.</w:t>
      </w:r>
    </w:p>
    <w:p w:rsidR="00036A13" w:rsidRPr="00074EF4" w:rsidRDefault="00036A13" w:rsidP="003824AA">
      <w:pPr>
        <w:pStyle w:val="ListParagraph"/>
        <w:spacing w:after="240"/>
        <w:ind w:left="851" w:right="306"/>
        <w:jc w:val="both"/>
        <w:rPr>
          <w:rFonts w:cs="Arial"/>
        </w:rPr>
      </w:pPr>
    </w:p>
    <w:p w:rsidR="00511C28" w:rsidRPr="00995090" w:rsidRDefault="00511C28">
      <w:pPr>
        <w:pStyle w:val="ListParagraph"/>
        <w:numPr>
          <w:ilvl w:val="0"/>
          <w:numId w:val="46"/>
        </w:numPr>
      </w:pPr>
      <w:r w:rsidRPr="00074EF4">
        <w:rPr>
          <w:rFonts w:cs="Arial"/>
        </w:rPr>
        <w:t xml:space="preserve">In </w:t>
      </w:r>
      <w:r w:rsidR="00383AF0" w:rsidRPr="00074EF4">
        <w:rPr>
          <w:rFonts w:cs="Arial"/>
        </w:rPr>
        <w:t xml:space="preserve">the </w:t>
      </w:r>
      <w:r w:rsidRPr="00074EF4">
        <w:rPr>
          <w:rFonts w:cs="Arial"/>
        </w:rPr>
        <w:t xml:space="preserve">Legal and Governance directorate, </w:t>
      </w:r>
      <w:r w:rsidRPr="00995090">
        <w:t>over recovery of income by £160k due to a consistently buoyant property market and the Home Office clearing a backlog of nationality applications which Harrow then processed.</w:t>
      </w:r>
    </w:p>
    <w:p w:rsidR="00E74141" w:rsidRPr="00995090" w:rsidRDefault="00E74141" w:rsidP="00074EF4">
      <w:pPr>
        <w:pStyle w:val="ListParagraph"/>
        <w:ind w:left="927"/>
      </w:pPr>
    </w:p>
    <w:p w:rsidR="00E74141" w:rsidRPr="00074EF4" w:rsidRDefault="00383AF0">
      <w:pPr>
        <w:pStyle w:val="ListParagraph"/>
        <w:numPr>
          <w:ilvl w:val="0"/>
          <w:numId w:val="46"/>
        </w:numPr>
      </w:pPr>
      <w:r w:rsidRPr="00074EF4">
        <w:rPr>
          <w:rFonts w:cs="Arial"/>
        </w:rPr>
        <w:t>Due to the d</w:t>
      </w:r>
      <w:r w:rsidR="006606B2" w:rsidRPr="00074EF4">
        <w:rPr>
          <w:rFonts w:cs="Arial"/>
        </w:rPr>
        <w:t xml:space="preserve">elay in </w:t>
      </w:r>
      <w:r w:rsidRPr="00074EF4">
        <w:rPr>
          <w:rFonts w:cs="Arial"/>
        </w:rPr>
        <w:t xml:space="preserve">the </w:t>
      </w:r>
      <w:r w:rsidR="00511C28" w:rsidRPr="00074EF4">
        <w:rPr>
          <w:rFonts w:cs="Arial"/>
        </w:rPr>
        <w:t xml:space="preserve">implementation of </w:t>
      </w:r>
      <w:r w:rsidRPr="00074EF4">
        <w:rPr>
          <w:rFonts w:cs="Arial"/>
        </w:rPr>
        <w:t xml:space="preserve">the transfer of Land Charges income to central government, this has resulted in an underspend </w:t>
      </w:r>
      <w:r w:rsidR="00586A10">
        <w:rPr>
          <w:rFonts w:cs="Arial"/>
        </w:rPr>
        <w:t xml:space="preserve">of £356k </w:t>
      </w:r>
      <w:r w:rsidRPr="00074EF4">
        <w:rPr>
          <w:rFonts w:cs="Arial"/>
        </w:rPr>
        <w:t xml:space="preserve">as the growth </w:t>
      </w:r>
      <w:r w:rsidR="00586A10">
        <w:rPr>
          <w:rFonts w:cs="Arial"/>
        </w:rPr>
        <w:t xml:space="preserve">previously </w:t>
      </w:r>
      <w:r w:rsidRPr="00074EF4">
        <w:rPr>
          <w:rFonts w:cs="Arial"/>
        </w:rPr>
        <w:t>allocated to match the loss of income has not been needed</w:t>
      </w:r>
      <w:r w:rsidR="00586A10">
        <w:rPr>
          <w:rFonts w:cs="Arial"/>
        </w:rPr>
        <w:t>.</w:t>
      </w:r>
    </w:p>
    <w:p w:rsidR="00E74141" w:rsidRPr="00995090" w:rsidRDefault="00E74141" w:rsidP="00074EF4">
      <w:pPr>
        <w:pStyle w:val="ListParagraph"/>
      </w:pPr>
    </w:p>
    <w:p w:rsidR="00383AF0" w:rsidRPr="00074EF4" w:rsidRDefault="00383AF0" w:rsidP="00E74141">
      <w:pPr>
        <w:pStyle w:val="ListParagraph"/>
        <w:numPr>
          <w:ilvl w:val="0"/>
          <w:numId w:val="46"/>
        </w:numPr>
        <w:rPr>
          <w:rFonts w:cs="Arial"/>
        </w:rPr>
      </w:pPr>
      <w:r w:rsidRPr="00074EF4">
        <w:rPr>
          <w:rFonts w:cs="Arial"/>
        </w:rPr>
        <w:t xml:space="preserve">In Finance and Assurance there </w:t>
      </w:r>
      <w:r w:rsidR="00586A10">
        <w:rPr>
          <w:rFonts w:cs="Arial"/>
        </w:rPr>
        <w:t>was</w:t>
      </w:r>
      <w:r w:rsidR="00E74141" w:rsidRPr="00074EF4">
        <w:rPr>
          <w:rFonts w:cs="Arial"/>
        </w:rPr>
        <w:t xml:space="preserve"> </w:t>
      </w:r>
      <w:r w:rsidRPr="00074EF4">
        <w:rPr>
          <w:rFonts w:cs="Arial"/>
        </w:rPr>
        <w:t>a</w:t>
      </w:r>
      <w:r w:rsidR="00586A10">
        <w:rPr>
          <w:rFonts w:cs="Arial"/>
        </w:rPr>
        <w:t>n</w:t>
      </w:r>
      <w:r w:rsidRPr="00074EF4">
        <w:rPr>
          <w:rFonts w:cs="Arial"/>
        </w:rPr>
        <w:t xml:space="preserve"> underspend of £24k resulting from a vacancy within the Insurance team. For the insurance provision, the actuary has revalued insurance liabilities upwards by £500k.  To mitigate this the insurance reserve of £500k has been drawn down.  This report recommends this reserve is re-instated to support future insurance activity</w:t>
      </w:r>
      <w:r w:rsidR="00C82A14">
        <w:rPr>
          <w:rFonts w:cs="Arial"/>
        </w:rPr>
        <w:t xml:space="preserve"> going forward. </w:t>
      </w:r>
    </w:p>
    <w:p w:rsidR="00A5155D" w:rsidRDefault="00A5155D" w:rsidP="00074EF4"/>
    <w:p w:rsidR="00A5155D" w:rsidRDefault="00383AF0" w:rsidP="00074EF4">
      <w:pPr>
        <w:pStyle w:val="ListParagraph"/>
        <w:numPr>
          <w:ilvl w:val="0"/>
          <w:numId w:val="48"/>
        </w:numPr>
      </w:pPr>
      <w:r>
        <w:t xml:space="preserve">In Procurement, </w:t>
      </w:r>
      <w:r w:rsidR="00A5155D">
        <w:t>CIP accreditation and West London Alliance membership fees</w:t>
      </w:r>
      <w:r>
        <w:t xml:space="preserve"> resulted in an</w:t>
      </w:r>
      <w:r w:rsidR="00664018">
        <w:t xml:space="preserve"> </w:t>
      </w:r>
      <w:r>
        <w:t xml:space="preserve">overspend of </w:t>
      </w:r>
      <w:r w:rsidR="00A5155D">
        <w:t>£73k.</w:t>
      </w:r>
    </w:p>
    <w:p w:rsidR="006606B2" w:rsidRDefault="006606B2" w:rsidP="00074EF4">
      <w:pPr>
        <w:pStyle w:val="ListParagraph"/>
        <w:ind w:left="927"/>
      </w:pPr>
    </w:p>
    <w:p w:rsidR="00F25A62" w:rsidRDefault="00383AF0" w:rsidP="00074EF4">
      <w:pPr>
        <w:pStyle w:val="ListParagraph"/>
        <w:numPr>
          <w:ilvl w:val="0"/>
          <w:numId w:val="48"/>
        </w:numPr>
      </w:pPr>
      <w:r>
        <w:t xml:space="preserve">There was a an adverse variance </w:t>
      </w:r>
      <w:r w:rsidR="006606B2">
        <w:t xml:space="preserve">in Customer </w:t>
      </w:r>
      <w:r w:rsidR="00586A10">
        <w:t>S</w:t>
      </w:r>
      <w:r w:rsidR="006606B2">
        <w:t>ervice</w:t>
      </w:r>
      <w:r w:rsidR="00586A10">
        <w:t>s</w:t>
      </w:r>
      <w:r w:rsidR="006606B2">
        <w:t xml:space="preserve"> of £755k</w:t>
      </w:r>
      <w:r w:rsidR="00F25A62">
        <w:t xml:space="preserve"> as a r</w:t>
      </w:r>
      <w:r w:rsidR="006606B2">
        <w:t>esult of not drawing down £1</w:t>
      </w:r>
      <w:r w:rsidR="00F25A62">
        <w:t xml:space="preserve">.4m </w:t>
      </w:r>
      <w:r>
        <w:t xml:space="preserve">from the </w:t>
      </w:r>
      <w:r w:rsidR="00F25A62">
        <w:t>IT implementation reserve as</w:t>
      </w:r>
      <w:r w:rsidR="006606B2">
        <w:t xml:space="preserve"> previously</w:t>
      </w:r>
      <w:r w:rsidR="00F25A62" w:rsidRPr="00A5155D">
        <w:t xml:space="preserve"> </w:t>
      </w:r>
      <w:r w:rsidR="00F25A62">
        <w:t>planned, if this was</w:t>
      </w:r>
      <w:r w:rsidR="006606B2">
        <w:t xml:space="preserve"> to be drawn</w:t>
      </w:r>
      <w:r w:rsidR="00F25A62">
        <w:t xml:space="preserve"> down the directorate would</w:t>
      </w:r>
      <w:r w:rsidR="006606B2">
        <w:t xml:space="preserve"> have underspend by £645k</w:t>
      </w:r>
      <w:r w:rsidR="00586A10">
        <w:t xml:space="preserve">. The underspend is </w:t>
      </w:r>
      <w:r w:rsidR="00664018">
        <w:t xml:space="preserve">as a result of </w:t>
      </w:r>
      <w:r w:rsidR="00BB471F">
        <w:t>additional summon cost income,</w:t>
      </w:r>
      <w:r w:rsidR="00F25A62">
        <w:t xml:space="preserve"> lower than anticipated </w:t>
      </w:r>
      <w:r w:rsidR="00664018">
        <w:t xml:space="preserve"> take up </w:t>
      </w:r>
      <w:r w:rsidR="00586A10">
        <w:t xml:space="preserve">of  the </w:t>
      </w:r>
      <w:r w:rsidR="00F25A62">
        <w:t xml:space="preserve">Harrow Help </w:t>
      </w:r>
      <w:r w:rsidR="00C82A14">
        <w:t>F</w:t>
      </w:r>
      <w:r w:rsidR="00F25A62">
        <w:t xml:space="preserve">und and </w:t>
      </w:r>
      <w:r w:rsidR="00586A10">
        <w:t>a</w:t>
      </w:r>
      <w:r>
        <w:t xml:space="preserve"> </w:t>
      </w:r>
      <w:r w:rsidR="00F25A62">
        <w:t xml:space="preserve">reduction </w:t>
      </w:r>
      <w:r w:rsidR="00CD7CD5">
        <w:t xml:space="preserve">to bad </w:t>
      </w:r>
      <w:r w:rsidR="00F25A62">
        <w:t>debt provision  as a result of a significant bad debt write off exercise carried out in previous year.</w:t>
      </w:r>
    </w:p>
    <w:p w:rsidR="0046757C" w:rsidRPr="0046757C" w:rsidRDefault="0046757C" w:rsidP="00074EF4"/>
    <w:p w:rsidR="009870D0" w:rsidRPr="003824AA" w:rsidRDefault="00773B20" w:rsidP="003824AA">
      <w:pPr>
        <w:spacing w:after="240"/>
        <w:ind w:right="306" w:firstLine="561"/>
        <w:jc w:val="both"/>
        <w:rPr>
          <w:rFonts w:cs="Arial"/>
        </w:rPr>
      </w:pPr>
      <w:r w:rsidRPr="004E62B0">
        <w:rPr>
          <w:rFonts w:cs="Arial"/>
        </w:rPr>
        <w:t xml:space="preserve">The </w:t>
      </w:r>
      <w:r w:rsidR="00725BC3" w:rsidRPr="003824AA">
        <w:rPr>
          <w:rFonts w:cs="Arial"/>
        </w:rPr>
        <w:t xml:space="preserve">recommended </w:t>
      </w:r>
      <w:r w:rsidRPr="003824AA">
        <w:rPr>
          <w:rFonts w:cs="Arial"/>
        </w:rPr>
        <w:t xml:space="preserve">carry forward requests of </w:t>
      </w:r>
      <w:r w:rsidR="009870D0" w:rsidRPr="003824AA">
        <w:rPr>
          <w:rFonts w:cs="Arial"/>
        </w:rPr>
        <w:t>£</w:t>
      </w:r>
      <w:r w:rsidR="00C14341" w:rsidRPr="003824AA">
        <w:rPr>
          <w:rFonts w:cs="Arial"/>
        </w:rPr>
        <w:t>0.1</w:t>
      </w:r>
      <w:r w:rsidR="00512152" w:rsidRPr="003824AA">
        <w:rPr>
          <w:rFonts w:cs="Arial"/>
        </w:rPr>
        <w:t>72</w:t>
      </w:r>
      <w:r w:rsidR="0046757C" w:rsidRPr="003824AA">
        <w:rPr>
          <w:rFonts w:cs="Arial"/>
        </w:rPr>
        <w:t>m</w:t>
      </w:r>
      <w:r w:rsidR="009870D0" w:rsidRPr="003824AA">
        <w:rPr>
          <w:rFonts w:cs="Arial"/>
        </w:rPr>
        <w:t xml:space="preserve"> </w:t>
      </w:r>
      <w:r w:rsidRPr="003824AA">
        <w:rPr>
          <w:rFonts w:cs="Arial"/>
        </w:rPr>
        <w:t xml:space="preserve">are set out at </w:t>
      </w:r>
      <w:r w:rsidR="009870D0" w:rsidRPr="003824AA">
        <w:rPr>
          <w:rFonts w:cs="Arial"/>
        </w:rPr>
        <w:t xml:space="preserve">Appendix </w:t>
      </w:r>
      <w:r w:rsidR="00942F9C" w:rsidRPr="003824AA">
        <w:rPr>
          <w:rFonts w:cs="Arial"/>
        </w:rPr>
        <w:t>1</w:t>
      </w:r>
      <w:r w:rsidRPr="003824AA">
        <w:rPr>
          <w:rFonts w:cs="Arial"/>
        </w:rPr>
        <w:t>.</w:t>
      </w:r>
      <w:r w:rsidR="009870D0" w:rsidRPr="003824AA">
        <w:rPr>
          <w:rFonts w:cs="Arial"/>
        </w:rPr>
        <w:t xml:space="preserve"> </w:t>
      </w:r>
    </w:p>
    <w:p w:rsidR="00864EF6" w:rsidRDefault="00864EF6" w:rsidP="003824AA">
      <w:pPr>
        <w:spacing w:after="240"/>
        <w:ind w:left="561" w:right="306" w:hanging="59"/>
        <w:jc w:val="both"/>
        <w:rPr>
          <w:rFonts w:cs="Arial"/>
          <w:b/>
        </w:rPr>
      </w:pPr>
    </w:p>
    <w:p w:rsidR="00120AB1" w:rsidRPr="00737F1C" w:rsidRDefault="00C14341" w:rsidP="003824AA">
      <w:pPr>
        <w:spacing w:after="240"/>
        <w:ind w:left="561" w:right="306" w:hanging="59"/>
        <w:jc w:val="both"/>
        <w:rPr>
          <w:rFonts w:cs="Arial"/>
          <w:b/>
        </w:rPr>
      </w:pPr>
      <w:r>
        <w:rPr>
          <w:rFonts w:cs="Arial"/>
          <w:b/>
        </w:rPr>
        <w:t>Community</w:t>
      </w:r>
    </w:p>
    <w:p w:rsidR="002F0563" w:rsidRDefault="002F0563" w:rsidP="0087231C">
      <w:pPr>
        <w:pStyle w:val="ListParagraph"/>
        <w:numPr>
          <w:ilvl w:val="0"/>
          <w:numId w:val="9"/>
        </w:numPr>
        <w:spacing w:after="240"/>
        <w:ind w:right="306"/>
        <w:jc w:val="both"/>
        <w:rPr>
          <w:rFonts w:cs="Arial"/>
        </w:rPr>
      </w:pPr>
      <w:r w:rsidRPr="000F0C4F">
        <w:rPr>
          <w:rFonts w:cs="Arial"/>
        </w:rPr>
        <w:t xml:space="preserve">The outturn position for </w:t>
      </w:r>
      <w:r w:rsidR="00C14341">
        <w:rPr>
          <w:rFonts w:cs="Arial"/>
        </w:rPr>
        <w:t>Community</w:t>
      </w:r>
      <w:r w:rsidRPr="000F0C4F">
        <w:rPr>
          <w:rFonts w:cs="Arial"/>
        </w:rPr>
        <w:t xml:space="preserve"> is an </w:t>
      </w:r>
      <w:r w:rsidR="00C14341">
        <w:rPr>
          <w:rFonts w:cs="Arial"/>
        </w:rPr>
        <w:t>over</w:t>
      </w:r>
      <w:r w:rsidRPr="000F0C4F">
        <w:rPr>
          <w:rFonts w:cs="Arial"/>
        </w:rPr>
        <w:t xml:space="preserve"> spend of £</w:t>
      </w:r>
      <w:r w:rsidRPr="00512152">
        <w:rPr>
          <w:rFonts w:cs="Arial"/>
        </w:rPr>
        <w:t>0.</w:t>
      </w:r>
      <w:r w:rsidR="00C14341" w:rsidRPr="00074EF4">
        <w:rPr>
          <w:rFonts w:cs="Arial"/>
        </w:rPr>
        <w:t>757</w:t>
      </w:r>
      <w:r w:rsidRPr="00512152">
        <w:rPr>
          <w:rFonts w:cs="Arial"/>
        </w:rPr>
        <w:t xml:space="preserve">m.  </w:t>
      </w:r>
      <w:r w:rsidR="00725BC3">
        <w:rPr>
          <w:rFonts w:cs="Arial"/>
        </w:rPr>
        <w:t xml:space="preserve">The overspend is increased of £0.901m after allowing for the recommended carry forward requests of £153k.  </w:t>
      </w:r>
      <w:r w:rsidRPr="000F0C4F">
        <w:rPr>
          <w:rFonts w:cs="Arial"/>
        </w:rPr>
        <w:t xml:space="preserve">The key reasons </w:t>
      </w:r>
      <w:r w:rsidR="00725BC3">
        <w:rPr>
          <w:rFonts w:cs="Arial"/>
        </w:rPr>
        <w:t xml:space="preserve">for the variance </w:t>
      </w:r>
      <w:r w:rsidRPr="000F0C4F">
        <w:rPr>
          <w:rFonts w:cs="Arial"/>
        </w:rPr>
        <w:t>are detailed below:</w:t>
      </w:r>
    </w:p>
    <w:p w:rsidR="00C14341" w:rsidRPr="00074EF4" w:rsidRDefault="00C14341" w:rsidP="00C14341">
      <w:pPr>
        <w:spacing w:after="240"/>
        <w:ind w:left="851" w:right="306" w:hanging="284"/>
        <w:jc w:val="both"/>
      </w:pPr>
      <w:r w:rsidRPr="00074EF4">
        <w:t xml:space="preserve">●   Additional income and one-off under spends – additional rents from corporate estates (£290k; of which £100k is one off), additional income from cemeteries (£0.820m; of which £0.659m is one off) and £163k unspent contingency budget and delays in the project implementation costs of Towards Excellence (£47k). </w:t>
      </w:r>
    </w:p>
    <w:p w:rsidR="00C14341" w:rsidRPr="00074EF4" w:rsidRDefault="00C14341" w:rsidP="00C14341">
      <w:pPr>
        <w:ind w:left="881" w:right="304" w:hanging="284"/>
        <w:jc w:val="both"/>
      </w:pPr>
      <w:r w:rsidRPr="00074EF4">
        <w:t>●   Offsetting these underspends are pressures</w:t>
      </w:r>
      <w:r w:rsidRPr="00074EF4">
        <w:rPr>
          <w:lang w:val="en-US"/>
        </w:rPr>
        <w:t xml:space="preserve"> associated with the changes of garden and food waste collection system</w:t>
      </w:r>
      <w:r w:rsidRPr="00074EF4">
        <w:t xml:space="preserve"> (£0.8m), unachieved legacy saving targets in relation to PRISM transformation project (£353k), a shortfall on room hire income at Harrow Arts centre (£187k) and a partial non achievement of MTFS savings relating to the closure of four libraries (£56k).</w:t>
      </w:r>
    </w:p>
    <w:p w:rsidR="00C14341" w:rsidRPr="00074EF4" w:rsidRDefault="00C14341" w:rsidP="00C14341">
      <w:pPr>
        <w:ind w:left="881" w:right="304" w:hanging="284"/>
        <w:jc w:val="both"/>
      </w:pPr>
    </w:p>
    <w:p w:rsidR="00C14341" w:rsidRPr="00074EF4" w:rsidRDefault="00C14341" w:rsidP="00C14341">
      <w:pPr>
        <w:pStyle w:val="ListParagraph"/>
        <w:numPr>
          <w:ilvl w:val="0"/>
          <w:numId w:val="21"/>
        </w:numPr>
        <w:ind w:left="866" w:hanging="284"/>
        <w:rPr>
          <w:sz w:val="22"/>
          <w:szCs w:val="22"/>
        </w:rPr>
      </w:pPr>
      <w:r w:rsidRPr="00074EF4">
        <w:t xml:space="preserve">Housing General Fund services are over spent by £0.689m, after assuming £1m draw down from the </w:t>
      </w:r>
      <w:r w:rsidR="00586A10">
        <w:t>W</w:t>
      </w:r>
      <w:r w:rsidR="00995090">
        <w:t xml:space="preserve">elfare </w:t>
      </w:r>
      <w:r w:rsidR="00586A10">
        <w:t>R</w:t>
      </w:r>
      <w:r w:rsidR="00995090">
        <w:t xml:space="preserve">eform </w:t>
      </w:r>
      <w:r w:rsidR="00586A10">
        <w:t>R</w:t>
      </w:r>
      <w:r w:rsidR="00995090">
        <w:t>eserve</w:t>
      </w:r>
      <w:r w:rsidRPr="00074EF4">
        <w:t>, to mitigate the extraordinary growth in the demand for Bed &amp; Breakfast accommodation driven by increasing rents in the Private Rented Sector combined with the impact of Government’s on-going Welfare Reforms. The worsening</w:t>
      </w:r>
      <w:r w:rsidR="00512152">
        <w:t xml:space="preserve"> position means there is a</w:t>
      </w:r>
      <w:r w:rsidRPr="00074EF4">
        <w:t xml:space="preserve"> real risk of a significant over spend in 2016-17</w:t>
      </w:r>
      <w:r w:rsidRPr="00074EF4">
        <w:rPr>
          <w:sz w:val="22"/>
          <w:szCs w:val="22"/>
        </w:rPr>
        <w:t>.</w:t>
      </w:r>
    </w:p>
    <w:p w:rsidR="00C14341" w:rsidRPr="00074EF4" w:rsidRDefault="00C14341" w:rsidP="00C14341">
      <w:pPr>
        <w:ind w:left="374" w:right="304"/>
        <w:jc w:val="both"/>
        <w:rPr>
          <w:rFonts w:ascii="Calibri" w:hAnsi="Calibri"/>
          <w:sz w:val="22"/>
          <w:szCs w:val="22"/>
        </w:rPr>
      </w:pPr>
    </w:p>
    <w:p w:rsidR="00C14341" w:rsidRDefault="00C14341" w:rsidP="003824AA">
      <w:pPr>
        <w:spacing w:after="240"/>
        <w:ind w:right="306" w:firstLine="582"/>
        <w:jc w:val="both"/>
      </w:pPr>
      <w:r w:rsidRPr="00074EF4">
        <w:t xml:space="preserve">The </w:t>
      </w:r>
      <w:r w:rsidR="00725BC3">
        <w:t xml:space="preserve">recommended carry forward requests of </w:t>
      </w:r>
      <w:r w:rsidRPr="00074EF4">
        <w:t xml:space="preserve"> £153k </w:t>
      </w:r>
      <w:r w:rsidR="00725BC3">
        <w:t xml:space="preserve">are set out at </w:t>
      </w:r>
      <w:r w:rsidR="00942F9C" w:rsidRPr="00074EF4">
        <w:t>Appendix 1</w:t>
      </w:r>
      <w:r w:rsidR="009017CB">
        <w:t>.</w:t>
      </w:r>
    </w:p>
    <w:p w:rsidR="000248BA" w:rsidRPr="003824AA" w:rsidRDefault="000248BA" w:rsidP="003824AA">
      <w:pPr>
        <w:pStyle w:val="ListParagraph"/>
        <w:numPr>
          <w:ilvl w:val="0"/>
          <w:numId w:val="9"/>
        </w:numPr>
        <w:rPr>
          <w:rFonts w:cs="Arial"/>
        </w:rPr>
      </w:pPr>
      <w:r>
        <w:t>In addition, approval is sought to write off an outstanding debt in relation to Harrow Arts Centre</w:t>
      </w:r>
      <w:r w:rsidRPr="00713DCF">
        <w:t xml:space="preserve">.  </w:t>
      </w:r>
      <w:r w:rsidRPr="004E62B0">
        <w:rPr>
          <w:rFonts w:cs="Arial"/>
        </w:rPr>
        <w:t xml:space="preserve">JAMS Kitchen occupies premises at Harrow Arts Centre on a 15 year lease. There are currently arrears of rent and service charge </w:t>
      </w:r>
      <w:r w:rsidRPr="003824AA">
        <w:rPr>
          <w:rFonts w:cs="Arial"/>
        </w:rPr>
        <w:t>of £31k.</w:t>
      </w:r>
      <w:r w:rsidRPr="004E62B0">
        <w:rPr>
          <w:rFonts w:cs="Arial"/>
        </w:rPr>
        <w:t xml:space="preserve"> As part of the </w:t>
      </w:r>
      <w:r w:rsidRPr="003824AA">
        <w:rPr>
          <w:rFonts w:cs="Arial"/>
        </w:rPr>
        <w:t>proposed transfer of the Arts &amp; Heritage Services to Cultura London, options have been explored by Corporate</w:t>
      </w:r>
      <w:r w:rsidRPr="004E62B0">
        <w:rPr>
          <w:rFonts w:cs="Arial"/>
        </w:rPr>
        <w:t xml:space="preserve"> Estates team to terminate the lease with JAMS Kitchen early. It is recommended that the Council accepts JAMS Kitchen’s voluntarily surrender of </w:t>
      </w:r>
      <w:r w:rsidRPr="003824AA">
        <w:rPr>
          <w:rFonts w:cs="Arial"/>
        </w:rPr>
        <w:t>the lease, providing vacant possession of the premises with immediate effect to meet the timescales of the transfer of the services to Cultura London. The terms of the lease surrender are that JAMS Kitchen is not required to pay the arrears of rent and service charge. Cabinet approval is therefore being sought to write off the outstanding debt in respect of JAMS Kitchen</w:t>
      </w:r>
      <w:r w:rsidR="00773B20" w:rsidRPr="004E62B0">
        <w:rPr>
          <w:rFonts w:cs="Arial"/>
        </w:rPr>
        <w:t xml:space="preserve"> in exchange for the surrender of the lease.</w:t>
      </w:r>
    </w:p>
    <w:p w:rsidR="000248BA" w:rsidRDefault="000248BA" w:rsidP="000248BA">
      <w:pPr>
        <w:rPr>
          <w:rFonts w:cs="Arial"/>
          <w:color w:val="0000FF"/>
        </w:rPr>
      </w:pPr>
      <w:r>
        <w:rPr>
          <w:rFonts w:cs="Arial"/>
          <w:color w:val="0000FF"/>
        </w:rPr>
        <w:t> </w:t>
      </w:r>
    </w:p>
    <w:p w:rsidR="00120AB1" w:rsidRDefault="000F1237" w:rsidP="003824AA">
      <w:pPr>
        <w:ind w:left="502" w:right="304"/>
        <w:jc w:val="both"/>
        <w:rPr>
          <w:rFonts w:cs="Arial"/>
          <w:b/>
        </w:rPr>
      </w:pPr>
      <w:r>
        <w:rPr>
          <w:rFonts w:cs="Arial"/>
          <w:b/>
        </w:rPr>
        <w:t>People</w:t>
      </w:r>
      <w:r w:rsidR="003A64B1">
        <w:rPr>
          <w:rFonts w:cs="Arial"/>
          <w:b/>
        </w:rPr>
        <w:t xml:space="preserve"> Services</w:t>
      </w:r>
    </w:p>
    <w:p w:rsidR="00942F9C" w:rsidRPr="00737F1C" w:rsidRDefault="00942F9C" w:rsidP="00C767C6">
      <w:pPr>
        <w:ind w:right="304"/>
        <w:jc w:val="both"/>
        <w:rPr>
          <w:rFonts w:cs="Arial"/>
          <w:b/>
        </w:rPr>
      </w:pPr>
    </w:p>
    <w:p w:rsidR="00732572" w:rsidRDefault="00120AB1" w:rsidP="0087231C">
      <w:pPr>
        <w:pStyle w:val="ListParagraph"/>
        <w:numPr>
          <w:ilvl w:val="0"/>
          <w:numId w:val="9"/>
        </w:numPr>
        <w:ind w:right="304"/>
        <w:jc w:val="both"/>
        <w:rPr>
          <w:rFonts w:cs="Arial"/>
        </w:rPr>
      </w:pPr>
      <w:r w:rsidRPr="000F0C4F">
        <w:rPr>
          <w:rFonts w:cs="Arial"/>
        </w:rPr>
        <w:t xml:space="preserve">The </w:t>
      </w:r>
      <w:r w:rsidR="000F1237">
        <w:rPr>
          <w:rFonts w:cs="Arial"/>
        </w:rPr>
        <w:t xml:space="preserve">People’s directorate is reporting an </w:t>
      </w:r>
      <w:r w:rsidR="00C14341">
        <w:rPr>
          <w:rFonts w:cs="Arial"/>
        </w:rPr>
        <w:t xml:space="preserve">under spend </w:t>
      </w:r>
      <w:r w:rsidR="00732572" w:rsidRPr="000F0C4F">
        <w:rPr>
          <w:rFonts w:cs="Arial"/>
        </w:rPr>
        <w:t>of £</w:t>
      </w:r>
      <w:r w:rsidR="00C14341">
        <w:rPr>
          <w:rFonts w:cs="Arial"/>
        </w:rPr>
        <w:t>63k</w:t>
      </w:r>
      <w:r w:rsidR="00222B56">
        <w:rPr>
          <w:rFonts w:cs="Arial"/>
        </w:rPr>
        <w:t>.  The net underspend of £63k is made up of an underspend of £1.35m on Public Health, an oversp</w:t>
      </w:r>
      <w:r w:rsidR="00512152">
        <w:rPr>
          <w:rFonts w:cs="Arial"/>
        </w:rPr>
        <w:t>end of £1.246m on Adults and an</w:t>
      </w:r>
      <w:r w:rsidR="00222B56">
        <w:rPr>
          <w:rFonts w:cs="Arial"/>
        </w:rPr>
        <w:t xml:space="preserve"> overspend of £41k on Adults Transformation.</w:t>
      </w:r>
      <w:r w:rsidR="00732572" w:rsidRPr="000F0C4F">
        <w:rPr>
          <w:rFonts w:cs="Arial"/>
        </w:rPr>
        <w:t xml:space="preserve">  </w:t>
      </w:r>
      <w:r w:rsidR="00773B20" w:rsidRPr="00074EF4">
        <w:rPr>
          <w:rFonts w:cs="Arial"/>
          <w:szCs w:val="24"/>
          <w:lang w:eastAsia="ar-SA"/>
        </w:rPr>
        <w:t xml:space="preserve">The People’s Directorate net under spend of £63k becomes an overspend of £1.297m after accounting for requested carry forwards of £1.360m.  £10k </w:t>
      </w:r>
      <w:r w:rsidR="00773B20">
        <w:rPr>
          <w:rFonts w:cs="Arial"/>
          <w:szCs w:val="24"/>
          <w:lang w:eastAsia="ar-SA"/>
        </w:rPr>
        <w:t xml:space="preserve">is in relation to Adult </w:t>
      </w:r>
      <w:r w:rsidR="00773B20" w:rsidRPr="00074EF4">
        <w:rPr>
          <w:rFonts w:cs="Arial"/>
          <w:szCs w:val="24"/>
          <w:lang w:eastAsia="ar-SA"/>
        </w:rPr>
        <w:t>Services and £1.350m in relation to Public Health which this report re</w:t>
      </w:r>
      <w:r w:rsidR="00773B20">
        <w:rPr>
          <w:rFonts w:cs="Arial"/>
          <w:szCs w:val="24"/>
          <w:lang w:eastAsia="ar-SA"/>
        </w:rPr>
        <w:t xml:space="preserve">commends as set out in Appendix 1. </w:t>
      </w:r>
      <w:r w:rsidR="00732572" w:rsidRPr="000F0C4F">
        <w:rPr>
          <w:rFonts w:cs="Arial"/>
        </w:rPr>
        <w:t xml:space="preserve">The key reasons </w:t>
      </w:r>
      <w:r w:rsidR="00773B20">
        <w:rPr>
          <w:rFonts w:cs="Arial"/>
        </w:rPr>
        <w:t xml:space="preserve">for the variances </w:t>
      </w:r>
      <w:r w:rsidR="00732572" w:rsidRPr="000F0C4F">
        <w:rPr>
          <w:rFonts w:cs="Arial"/>
        </w:rPr>
        <w:t>are detailed below:</w:t>
      </w:r>
    </w:p>
    <w:p w:rsidR="00C14341" w:rsidRPr="000F0C4F" w:rsidRDefault="00C14341" w:rsidP="00074EF4">
      <w:pPr>
        <w:pStyle w:val="ListParagraph"/>
        <w:ind w:left="374" w:right="304"/>
        <w:jc w:val="both"/>
        <w:rPr>
          <w:rFonts w:cs="Arial"/>
        </w:rPr>
      </w:pPr>
    </w:p>
    <w:p w:rsidR="00A0180F" w:rsidRDefault="00D3447F" w:rsidP="00074EF4">
      <w:pPr>
        <w:pStyle w:val="ListParagraph"/>
        <w:numPr>
          <w:ilvl w:val="0"/>
          <w:numId w:val="50"/>
        </w:numPr>
        <w:ind w:left="993" w:right="304" w:hanging="669"/>
        <w:jc w:val="both"/>
        <w:rPr>
          <w:rFonts w:cs="Arial"/>
          <w:szCs w:val="24"/>
        </w:rPr>
      </w:pPr>
      <w:r w:rsidRPr="00074EF4">
        <w:rPr>
          <w:rFonts w:cs="Arial"/>
        </w:rPr>
        <w:t>Public Health</w:t>
      </w:r>
      <w:r w:rsidR="00942F9C" w:rsidRPr="00074EF4">
        <w:rPr>
          <w:rFonts w:cs="Arial"/>
        </w:rPr>
        <w:t xml:space="preserve"> </w:t>
      </w:r>
      <w:r w:rsidR="00222B56" w:rsidRPr="00074EF4">
        <w:rPr>
          <w:rFonts w:cs="Arial"/>
        </w:rPr>
        <w:t>is reporting an underspend of £1.35m.</w:t>
      </w:r>
      <w:r w:rsidRPr="00074EF4">
        <w:rPr>
          <w:rFonts w:cs="Arial"/>
        </w:rPr>
        <w:t xml:space="preserve"> </w:t>
      </w:r>
      <w:r w:rsidR="004F6F88" w:rsidRPr="00074EF4">
        <w:rPr>
          <w:rFonts w:cs="Arial"/>
          <w:szCs w:val="24"/>
        </w:rPr>
        <w:t xml:space="preserve"> The £1.35m underspend is in relation</w:t>
      </w:r>
      <w:r w:rsidR="00D9620B" w:rsidRPr="00074EF4">
        <w:rPr>
          <w:rFonts w:cs="Arial"/>
          <w:szCs w:val="24"/>
        </w:rPr>
        <w:t xml:space="preserve"> to grant income from H</w:t>
      </w:r>
      <w:r w:rsidR="004E78FC">
        <w:rPr>
          <w:rFonts w:cs="Arial"/>
          <w:szCs w:val="24"/>
        </w:rPr>
        <w:t xml:space="preserve">ealth </w:t>
      </w:r>
      <w:r w:rsidR="00D9620B" w:rsidRPr="00074EF4">
        <w:rPr>
          <w:rFonts w:cs="Arial"/>
          <w:szCs w:val="24"/>
        </w:rPr>
        <w:t>E</w:t>
      </w:r>
      <w:r w:rsidR="004E78FC">
        <w:rPr>
          <w:rFonts w:cs="Arial"/>
          <w:szCs w:val="24"/>
        </w:rPr>
        <w:t xml:space="preserve">ducation </w:t>
      </w:r>
      <w:r w:rsidR="00D9620B" w:rsidRPr="00074EF4">
        <w:rPr>
          <w:rFonts w:cs="Arial"/>
          <w:szCs w:val="24"/>
        </w:rPr>
        <w:t>E</w:t>
      </w:r>
      <w:r w:rsidR="004E78FC">
        <w:rPr>
          <w:rFonts w:cs="Arial"/>
          <w:szCs w:val="24"/>
        </w:rPr>
        <w:t>ngland</w:t>
      </w:r>
      <w:r w:rsidR="00D9620B" w:rsidRPr="00074EF4">
        <w:rPr>
          <w:rFonts w:cs="Arial"/>
          <w:szCs w:val="24"/>
        </w:rPr>
        <w:t xml:space="preserve"> that is being </w:t>
      </w:r>
      <w:r w:rsidR="00D9620B" w:rsidRPr="00074EF4">
        <w:rPr>
          <w:rFonts w:cs="Arial"/>
          <w:szCs w:val="24"/>
        </w:rPr>
        <w:lastRenderedPageBreak/>
        <w:t>administered by Harrow Public Health and therefore needs to be carried forward</w:t>
      </w:r>
      <w:r w:rsidR="00942F9C" w:rsidRPr="00074EF4">
        <w:rPr>
          <w:rFonts w:cs="Arial"/>
          <w:szCs w:val="24"/>
        </w:rPr>
        <w:t>.</w:t>
      </w:r>
      <w:r w:rsidR="00CB4A78" w:rsidRPr="00CB4A78">
        <w:rPr>
          <w:rFonts w:cs="Arial"/>
          <w:szCs w:val="24"/>
        </w:rPr>
        <w:t xml:space="preserve"> </w:t>
      </w:r>
      <w:r w:rsidR="00D9620B" w:rsidRPr="00074EF4">
        <w:rPr>
          <w:rFonts w:cs="Arial"/>
          <w:szCs w:val="24"/>
        </w:rPr>
        <w:t xml:space="preserve">After allowing for the carry forward, the </w:t>
      </w:r>
      <w:r w:rsidR="00A0180F" w:rsidRPr="00074EF4">
        <w:rPr>
          <w:rFonts w:cs="Arial"/>
          <w:szCs w:val="24"/>
        </w:rPr>
        <w:t xml:space="preserve">outturn position </w:t>
      </w:r>
      <w:r w:rsidR="00D9620B" w:rsidRPr="00074EF4">
        <w:rPr>
          <w:rFonts w:cs="Arial"/>
          <w:szCs w:val="24"/>
        </w:rPr>
        <w:t xml:space="preserve">is balanced, despite </w:t>
      </w:r>
      <w:r w:rsidR="00A0180F" w:rsidRPr="00074EF4">
        <w:rPr>
          <w:rFonts w:cs="Arial"/>
          <w:szCs w:val="24"/>
        </w:rPr>
        <w:t>absorb</w:t>
      </w:r>
      <w:r w:rsidR="00D9620B" w:rsidRPr="00074EF4">
        <w:rPr>
          <w:rFonts w:cs="Arial"/>
          <w:szCs w:val="24"/>
        </w:rPr>
        <w:t>ing</w:t>
      </w:r>
      <w:r w:rsidR="00A0180F" w:rsidRPr="00074EF4">
        <w:rPr>
          <w:rFonts w:cs="Arial"/>
          <w:szCs w:val="24"/>
        </w:rPr>
        <w:t xml:space="preserve"> an in year grant reduction of £0.664m</w:t>
      </w:r>
      <w:r w:rsidR="00D9620B" w:rsidRPr="00074EF4">
        <w:rPr>
          <w:rFonts w:cs="Arial"/>
          <w:szCs w:val="24"/>
        </w:rPr>
        <w:t>.  In addition the public Health Reserve includes</w:t>
      </w:r>
      <w:r w:rsidR="00A0180F" w:rsidRPr="00074EF4">
        <w:rPr>
          <w:rFonts w:cs="Arial"/>
          <w:szCs w:val="24"/>
        </w:rPr>
        <w:t xml:space="preserve"> £203k for expenditure associated with projects committed in 2015/16</w:t>
      </w:r>
      <w:r w:rsidR="00D9620B" w:rsidRPr="00074EF4">
        <w:rPr>
          <w:rFonts w:cs="Arial"/>
          <w:szCs w:val="24"/>
        </w:rPr>
        <w:t xml:space="preserve">, which need to be continued in 2016/17 and </w:t>
      </w:r>
      <w:r w:rsidR="00A0180F" w:rsidRPr="00074EF4">
        <w:rPr>
          <w:rFonts w:cs="Arial"/>
          <w:szCs w:val="24"/>
        </w:rPr>
        <w:t xml:space="preserve"> </w:t>
      </w:r>
      <w:r w:rsidR="00D9620B" w:rsidRPr="00074EF4">
        <w:rPr>
          <w:rFonts w:cs="Arial"/>
          <w:szCs w:val="24"/>
        </w:rPr>
        <w:t xml:space="preserve">also </w:t>
      </w:r>
      <w:r w:rsidR="00A0180F" w:rsidRPr="00074EF4">
        <w:rPr>
          <w:rFonts w:cs="Arial"/>
          <w:szCs w:val="24"/>
        </w:rPr>
        <w:t xml:space="preserve">enables a balance of £695k to be held for contingent liabilities, redundancies arising from any future restructures and as a </w:t>
      </w:r>
      <w:r w:rsidR="004E78FC">
        <w:rPr>
          <w:rFonts w:cs="Arial"/>
          <w:szCs w:val="24"/>
        </w:rPr>
        <w:t xml:space="preserve">reserve for genitourinary </w:t>
      </w:r>
      <w:r w:rsidR="00A0180F" w:rsidRPr="00074EF4">
        <w:rPr>
          <w:rFonts w:cs="Arial"/>
          <w:szCs w:val="24"/>
        </w:rPr>
        <w:t xml:space="preserve"> </w:t>
      </w:r>
      <w:r w:rsidR="004E78FC">
        <w:rPr>
          <w:rFonts w:cs="Arial"/>
          <w:szCs w:val="24"/>
        </w:rPr>
        <w:t>medicine</w:t>
      </w:r>
      <w:r w:rsidR="00A0180F" w:rsidRPr="00074EF4">
        <w:rPr>
          <w:rFonts w:cs="Arial"/>
          <w:szCs w:val="24"/>
        </w:rPr>
        <w:t xml:space="preserve"> pending the outcome of the collaborative commissioning process from April 2017.  </w:t>
      </w:r>
    </w:p>
    <w:p w:rsidR="00CB4A78" w:rsidRPr="00074EF4" w:rsidRDefault="00CB4A78" w:rsidP="00074EF4">
      <w:pPr>
        <w:pStyle w:val="ListParagraph"/>
        <w:rPr>
          <w:rFonts w:cs="Arial"/>
          <w:szCs w:val="24"/>
        </w:rPr>
      </w:pPr>
    </w:p>
    <w:p w:rsidR="00CB4A78" w:rsidRDefault="00CB4A78" w:rsidP="00074EF4">
      <w:pPr>
        <w:pStyle w:val="ListParagraph"/>
        <w:numPr>
          <w:ilvl w:val="0"/>
          <w:numId w:val="50"/>
        </w:numPr>
        <w:ind w:right="304" w:hanging="669"/>
        <w:jc w:val="both"/>
        <w:rPr>
          <w:rFonts w:cs="Arial"/>
          <w:szCs w:val="24"/>
        </w:rPr>
      </w:pPr>
      <w:r>
        <w:rPr>
          <w:rFonts w:cs="Arial"/>
          <w:szCs w:val="24"/>
        </w:rPr>
        <w:t xml:space="preserve">Adult Services </w:t>
      </w:r>
      <w:r w:rsidRPr="00942F9C">
        <w:t>is reporting an overspend of £1.246m. This is in relation to</w:t>
      </w:r>
      <w:r>
        <w:rPr>
          <w:lang w:eastAsia="en-GB"/>
        </w:rPr>
        <w:t xml:space="preserve"> the </w:t>
      </w:r>
      <w:r w:rsidRPr="00942F9C">
        <w:rPr>
          <w:lang w:eastAsia="en-GB"/>
        </w:rPr>
        <w:t>Ordinary Residents payment made</w:t>
      </w:r>
      <w:r>
        <w:rPr>
          <w:lang w:eastAsia="en-GB"/>
        </w:rPr>
        <w:t xml:space="preserve"> to a neighbouring Authority</w:t>
      </w:r>
      <w:r w:rsidRPr="00942F9C">
        <w:rPr>
          <w:lang w:eastAsia="en-GB"/>
        </w:rPr>
        <w:t>, which was a one-off backdated element of cost associated with 17 residents</w:t>
      </w:r>
      <w:r>
        <w:rPr>
          <w:i/>
          <w:iCs/>
          <w:color w:val="FF0000"/>
          <w:lang w:eastAsia="en-GB"/>
        </w:rPr>
        <w:t xml:space="preserve">, </w:t>
      </w:r>
      <w:r w:rsidRPr="00A52423">
        <w:rPr>
          <w:iCs/>
          <w:lang w:eastAsia="en-GB"/>
        </w:rPr>
        <w:t>and a risk that was reported during the year and which materialised at year end following negotiation.</w:t>
      </w:r>
      <w:r w:rsidRPr="00A52423">
        <w:rPr>
          <w:i/>
          <w:iCs/>
          <w:lang w:eastAsia="en-GB"/>
        </w:rPr>
        <w:t xml:space="preserve"> </w:t>
      </w:r>
      <w:r w:rsidRPr="00942F9C">
        <w:rPr>
          <w:lang w:eastAsia="en-GB"/>
        </w:rPr>
        <w:t>Without the</w:t>
      </w:r>
      <w:r>
        <w:rPr>
          <w:lang w:eastAsia="en-GB"/>
        </w:rPr>
        <w:t>se</w:t>
      </w:r>
      <w:r w:rsidRPr="00942F9C">
        <w:rPr>
          <w:lang w:eastAsia="en-GB"/>
        </w:rPr>
        <w:t xml:space="preserve"> </w:t>
      </w:r>
      <w:r>
        <w:rPr>
          <w:lang w:eastAsia="en-GB"/>
        </w:rPr>
        <w:t xml:space="preserve">backdated </w:t>
      </w:r>
      <w:r w:rsidRPr="00942F9C">
        <w:rPr>
          <w:lang w:eastAsia="en-GB"/>
        </w:rPr>
        <w:t>costs, adult services would have reported a balanced position.</w:t>
      </w:r>
      <w:r w:rsidRPr="00942F9C">
        <w:t xml:space="preserve"> However there are underlying pressures of £1.9m in relation to social care </w:t>
      </w:r>
      <w:r w:rsidRPr="00A52423">
        <w:t xml:space="preserve">placements (£781k of which represents in year costs relating to </w:t>
      </w:r>
      <w:r w:rsidR="004E78FC">
        <w:t>ordinary residents</w:t>
      </w:r>
      <w:r w:rsidRPr="00A52423">
        <w:t xml:space="preserve"> cases),  De</w:t>
      </w:r>
      <w:r w:rsidRPr="00942F9C">
        <w:t xml:space="preserve">privation of Liberty Safeguards (DoLS - £306k representing statutory requirements not funded by grant), </w:t>
      </w:r>
      <w:r w:rsidRPr="00942F9C">
        <w:rPr>
          <w:lang w:eastAsia="en-GB"/>
        </w:rPr>
        <w:t>Mental Health s75 with Central North West London Hospitals Trust (CNWL - £294k representing the Council’s 50% risk share).  These pressures are offset on a one-off basis in 2015-16 only by the Care Act grant of £1.368m, together with underspends on staffing across the directorate (largely reflecting the delay in recruiting to vacant posts of £0.9m) and other non-staffing budgets (£296k)</w:t>
      </w:r>
      <w:r>
        <w:rPr>
          <w:lang w:eastAsia="en-GB"/>
        </w:rPr>
        <w:t>.</w:t>
      </w:r>
    </w:p>
    <w:p w:rsidR="00995090" w:rsidRDefault="00995090" w:rsidP="00074EF4">
      <w:pPr>
        <w:pStyle w:val="ListParagraph"/>
        <w:ind w:left="426"/>
      </w:pPr>
    </w:p>
    <w:p w:rsidR="002637EC" w:rsidRPr="00074EF4" w:rsidRDefault="002637EC" w:rsidP="00074EF4">
      <w:pPr>
        <w:pStyle w:val="ListParagraph"/>
        <w:numPr>
          <w:ilvl w:val="0"/>
          <w:numId w:val="53"/>
        </w:numPr>
        <w:ind w:right="304"/>
        <w:jc w:val="both"/>
        <w:rPr>
          <w:rFonts w:cs="Arial"/>
        </w:rPr>
      </w:pPr>
      <w:r w:rsidRPr="00942F9C">
        <w:t>Transformation – an overspend of £4</w:t>
      </w:r>
      <w:r w:rsidR="001B5A84" w:rsidRPr="00074EF4">
        <w:t>1</w:t>
      </w:r>
      <w:r w:rsidRPr="00942F9C">
        <w:t>k arising from the delayed delivery of anticipated savings across Business Support service,</w:t>
      </w:r>
      <w:r w:rsidR="004E78FC">
        <w:t xml:space="preserve"> which impacted on the Transformation Budget.</w:t>
      </w:r>
    </w:p>
    <w:p w:rsidR="00BB1532" w:rsidRDefault="00BB1532" w:rsidP="00074EF4">
      <w:pPr>
        <w:ind w:left="720" w:right="304"/>
        <w:jc w:val="both"/>
        <w:rPr>
          <w:rFonts w:cs="Arial"/>
        </w:rPr>
      </w:pPr>
    </w:p>
    <w:p w:rsidR="00942F9C" w:rsidRDefault="00785881" w:rsidP="003824AA">
      <w:pPr>
        <w:suppressAutoHyphens/>
        <w:ind w:firstLine="502"/>
        <w:rPr>
          <w:rFonts w:eastAsia="Calibri" w:cs="Arial"/>
          <w:b/>
          <w:szCs w:val="24"/>
        </w:rPr>
      </w:pPr>
      <w:r w:rsidRPr="00785881">
        <w:rPr>
          <w:rFonts w:eastAsia="Calibri" w:cs="Arial"/>
          <w:b/>
          <w:szCs w:val="24"/>
        </w:rPr>
        <w:t>Children</w:t>
      </w:r>
      <w:r w:rsidR="00222B56">
        <w:rPr>
          <w:rFonts w:eastAsia="Calibri" w:cs="Arial"/>
          <w:b/>
          <w:szCs w:val="24"/>
        </w:rPr>
        <w:t>’s Services</w:t>
      </w:r>
    </w:p>
    <w:p w:rsidR="00942F9C" w:rsidRDefault="00942F9C" w:rsidP="00D9620B">
      <w:pPr>
        <w:suppressAutoHyphens/>
        <w:rPr>
          <w:rFonts w:eastAsia="Calibri" w:cs="Arial"/>
          <w:b/>
          <w:szCs w:val="24"/>
        </w:rPr>
      </w:pPr>
    </w:p>
    <w:p w:rsidR="00D9620B" w:rsidRPr="00D9620B" w:rsidRDefault="00D9620B" w:rsidP="003824AA">
      <w:pPr>
        <w:pStyle w:val="ListParagraph"/>
        <w:numPr>
          <w:ilvl w:val="0"/>
          <w:numId w:val="9"/>
        </w:numPr>
        <w:tabs>
          <w:tab w:val="clear" w:pos="502"/>
          <w:tab w:val="num" w:pos="142"/>
        </w:tabs>
        <w:rPr>
          <w:lang w:eastAsia="ar-SA"/>
        </w:rPr>
      </w:pPr>
      <w:r w:rsidRPr="00D9620B">
        <w:rPr>
          <w:lang w:eastAsia="ar-SA"/>
        </w:rPr>
        <w:t>At outturn the overspend for the Directorate is £0.647m, which reduces to a balanced position after an equivalent draw down from the Children’s Social Care Reserve.</w:t>
      </w:r>
    </w:p>
    <w:p w:rsidR="00D9620B" w:rsidRPr="00D9620B" w:rsidRDefault="00D9620B" w:rsidP="00D9620B">
      <w:pPr>
        <w:suppressAutoHyphens/>
        <w:rPr>
          <w:rFonts w:cs="Arial"/>
          <w:szCs w:val="24"/>
          <w:lang w:eastAsia="ar-SA"/>
        </w:rPr>
      </w:pPr>
    </w:p>
    <w:p w:rsidR="00D9620B" w:rsidRPr="00D9620B" w:rsidRDefault="00D9620B" w:rsidP="003824AA">
      <w:pPr>
        <w:suppressAutoHyphens/>
        <w:ind w:left="502"/>
        <w:rPr>
          <w:rFonts w:cs="Arial"/>
          <w:szCs w:val="24"/>
          <w:lang w:eastAsia="ar-SA"/>
        </w:rPr>
      </w:pPr>
      <w:r w:rsidRPr="00D9620B">
        <w:rPr>
          <w:rFonts w:cs="Arial"/>
          <w:szCs w:val="24"/>
          <w:lang w:eastAsia="ar-SA"/>
        </w:rPr>
        <w:t>The majority of Children’s budgets are demand led and the Council has a statutory duty to meet vulnerable children’s needs. It is therefore challenging to balance the budget.</w:t>
      </w:r>
    </w:p>
    <w:p w:rsidR="00D9620B" w:rsidRPr="00D9620B" w:rsidRDefault="00D9620B" w:rsidP="00D9620B">
      <w:pPr>
        <w:suppressAutoHyphens/>
        <w:rPr>
          <w:rFonts w:cs="Arial"/>
          <w:szCs w:val="24"/>
          <w:lang w:eastAsia="ar-SA"/>
        </w:rPr>
      </w:pPr>
    </w:p>
    <w:p w:rsidR="00D9620B" w:rsidRPr="00D9620B" w:rsidRDefault="00D9620B" w:rsidP="003824AA">
      <w:pPr>
        <w:suppressAutoHyphens/>
        <w:ind w:left="502"/>
        <w:rPr>
          <w:rFonts w:cs="Arial"/>
          <w:szCs w:val="24"/>
          <w:lang w:eastAsia="ar-SA"/>
        </w:rPr>
      </w:pPr>
      <w:r w:rsidRPr="00D9620B">
        <w:rPr>
          <w:rFonts w:cs="Arial"/>
          <w:szCs w:val="24"/>
          <w:lang w:eastAsia="ar-SA"/>
        </w:rPr>
        <w:t>The total headline pressures are £3.531m. The main areas of overspend totalling £2.874m were as follows:</w:t>
      </w:r>
    </w:p>
    <w:p w:rsidR="00D9620B" w:rsidRPr="00D9620B" w:rsidRDefault="00D9620B" w:rsidP="00D9620B">
      <w:pPr>
        <w:suppressAutoHyphens/>
        <w:rPr>
          <w:rFonts w:cs="Arial"/>
          <w:szCs w:val="24"/>
          <w:lang w:eastAsia="ar-SA"/>
        </w:rPr>
      </w:pPr>
    </w:p>
    <w:p w:rsidR="00D9620B" w:rsidRPr="00D9620B" w:rsidRDefault="00D9620B" w:rsidP="00D9620B">
      <w:pPr>
        <w:numPr>
          <w:ilvl w:val="0"/>
          <w:numId w:val="24"/>
        </w:numPr>
        <w:suppressAutoHyphens/>
        <w:rPr>
          <w:rFonts w:cs="Arial"/>
          <w:szCs w:val="24"/>
          <w:lang w:eastAsia="ar-SA"/>
        </w:rPr>
      </w:pPr>
      <w:r w:rsidRPr="00D9620B">
        <w:rPr>
          <w:rFonts w:cs="Arial"/>
          <w:b/>
          <w:szCs w:val="24"/>
          <w:lang w:eastAsia="ar-SA"/>
        </w:rPr>
        <w:t>Special Needs Transport £0.612m overspend</w:t>
      </w:r>
      <w:r w:rsidRPr="00D9620B">
        <w:rPr>
          <w:rFonts w:cs="Arial"/>
          <w:szCs w:val="24"/>
          <w:lang w:eastAsia="ar-SA"/>
        </w:rPr>
        <w:t>. Special Needs Transport underwent a significant review in 2014/15 with a view to achieving a further £0.570m savings target. It was only possible to meet approximately half of this savings target due in main to contract prices being higher than anticipated. This contributes to part of the overspend. The remainder is due to demand, particularly for transport from home to colleges as the SEND reforms that extends special educational provision to age 25 years has led to an increased number of young adults with complex needs continuing in education.</w:t>
      </w:r>
    </w:p>
    <w:p w:rsidR="00D9620B" w:rsidRPr="00D9620B" w:rsidRDefault="00D9620B" w:rsidP="00D9620B">
      <w:pPr>
        <w:suppressAutoHyphens/>
        <w:ind w:left="720"/>
        <w:rPr>
          <w:rFonts w:cs="Arial"/>
          <w:szCs w:val="24"/>
          <w:lang w:eastAsia="ar-SA"/>
        </w:rPr>
      </w:pPr>
    </w:p>
    <w:p w:rsidR="00D9620B" w:rsidRPr="00D9620B" w:rsidRDefault="00D9620B" w:rsidP="00D9620B">
      <w:pPr>
        <w:numPr>
          <w:ilvl w:val="0"/>
          <w:numId w:val="24"/>
        </w:numPr>
        <w:suppressAutoHyphens/>
        <w:rPr>
          <w:rFonts w:cs="Arial"/>
          <w:szCs w:val="24"/>
          <w:lang w:eastAsia="ar-SA"/>
        </w:rPr>
      </w:pPr>
      <w:r w:rsidRPr="00D9620B">
        <w:rPr>
          <w:rFonts w:cs="Arial"/>
          <w:b/>
          <w:szCs w:val="24"/>
          <w:lang w:eastAsia="ar-SA"/>
        </w:rPr>
        <w:lastRenderedPageBreak/>
        <w:t>Children with Disabilities Service</w:t>
      </w:r>
      <w:r w:rsidR="00C4240B">
        <w:rPr>
          <w:rFonts w:cs="Arial"/>
          <w:b/>
          <w:szCs w:val="24"/>
          <w:lang w:eastAsia="ar-SA"/>
        </w:rPr>
        <w:t xml:space="preserve"> £411k - </w:t>
      </w:r>
      <w:r w:rsidRPr="00D9620B">
        <w:rPr>
          <w:rFonts w:cs="Arial"/>
          <w:b/>
          <w:szCs w:val="24"/>
          <w:lang w:eastAsia="ar-SA"/>
        </w:rPr>
        <w:t xml:space="preserve"> </w:t>
      </w:r>
      <w:r w:rsidRPr="003824AA">
        <w:rPr>
          <w:rFonts w:cs="Arial"/>
          <w:szCs w:val="24"/>
          <w:lang w:eastAsia="ar-SA"/>
        </w:rPr>
        <w:t xml:space="preserve">staffing </w:t>
      </w:r>
      <w:r w:rsidR="00C4240B" w:rsidRPr="003824AA">
        <w:rPr>
          <w:rFonts w:cs="Arial"/>
          <w:szCs w:val="24"/>
          <w:lang w:eastAsia="ar-SA"/>
        </w:rPr>
        <w:t xml:space="preserve">costs  were </w:t>
      </w:r>
      <w:r w:rsidRPr="003824AA">
        <w:rPr>
          <w:rFonts w:cs="Arial"/>
          <w:szCs w:val="24"/>
          <w:lang w:eastAsia="ar-SA"/>
        </w:rPr>
        <w:t>£60k overspen</w:t>
      </w:r>
      <w:r w:rsidR="00C4240B" w:rsidRPr="003824AA">
        <w:rPr>
          <w:rFonts w:cs="Arial"/>
          <w:szCs w:val="24"/>
          <w:lang w:eastAsia="ar-SA"/>
        </w:rPr>
        <w:t>t</w:t>
      </w:r>
      <w:r w:rsidRPr="00C4240B">
        <w:rPr>
          <w:rFonts w:cs="Arial"/>
          <w:szCs w:val="24"/>
          <w:lang w:eastAsia="ar-SA"/>
        </w:rPr>
        <w:t xml:space="preserve"> r</w:t>
      </w:r>
      <w:r w:rsidRPr="00D9620B">
        <w:rPr>
          <w:rFonts w:cs="Arial"/>
          <w:szCs w:val="24"/>
          <w:lang w:eastAsia="ar-SA"/>
        </w:rPr>
        <w:t xml:space="preserve">elating to caseload management and client costs </w:t>
      </w:r>
      <w:r w:rsidR="00C4240B">
        <w:rPr>
          <w:rFonts w:cs="Arial"/>
          <w:szCs w:val="24"/>
          <w:lang w:eastAsia="ar-SA"/>
        </w:rPr>
        <w:t xml:space="preserve">were </w:t>
      </w:r>
      <w:r w:rsidRPr="00D9620B">
        <w:rPr>
          <w:rFonts w:cs="Arial"/>
          <w:szCs w:val="24"/>
          <w:lang w:eastAsia="ar-SA"/>
        </w:rPr>
        <w:t>£351k overspen</w:t>
      </w:r>
      <w:r w:rsidR="00C4240B">
        <w:rPr>
          <w:rFonts w:cs="Arial"/>
          <w:szCs w:val="24"/>
          <w:lang w:eastAsia="ar-SA"/>
        </w:rPr>
        <w:t>t</w:t>
      </w:r>
      <w:r w:rsidRPr="00D9620B">
        <w:rPr>
          <w:rFonts w:cs="Arial"/>
          <w:szCs w:val="24"/>
          <w:lang w:eastAsia="ar-SA"/>
        </w:rPr>
        <w:t xml:space="preserve"> due to demand including a single young person with high and extraordinary needs. </w:t>
      </w:r>
    </w:p>
    <w:p w:rsidR="00D9620B" w:rsidRPr="00D9620B" w:rsidRDefault="00D9620B" w:rsidP="00D9620B">
      <w:pPr>
        <w:ind w:left="720"/>
        <w:rPr>
          <w:rFonts w:eastAsia="Calibri" w:cs="Arial"/>
          <w:szCs w:val="24"/>
        </w:rPr>
      </w:pPr>
    </w:p>
    <w:p w:rsidR="00D9620B" w:rsidRPr="00D9620B" w:rsidRDefault="00D9620B" w:rsidP="00D9620B">
      <w:pPr>
        <w:numPr>
          <w:ilvl w:val="0"/>
          <w:numId w:val="24"/>
        </w:numPr>
        <w:suppressAutoHyphens/>
        <w:rPr>
          <w:rFonts w:cs="Arial"/>
          <w:szCs w:val="24"/>
          <w:lang w:eastAsia="ar-SA"/>
        </w:rPr>
      </w:pPr>
      <w:r w:rsidRPr="00D9620B">
        <w:rPr>
          <w:rFonts w:cs="Arial"/>
          <w:b/>
          <w:szCs w:val="24"/>
          <w:lang w:eastAsia="ar-SA"/>
        </w:rPr>
        <w:t>Placements £483k overspend</w:t>
      </w:r>
      <w:r w:rsidRPr="00D9620B">
        <w:rPr>
          <w:rFonts w:cs="Arial"/>
          <w:szCs w:val="24"/>
          <w:lang w:eastAsia="ar-SA"/>
        </w:rPr>
        <w:t xml:space="preserve"> mainly resulting from an increase in the number of children in high cost residential placements. During November 2015 and December 2015, the directorate made 4 additional placements of young people in out of borough high cost residential placements. These placements have been needed in response to significant risks relating to child sexual exploitation and gangs involvement. The duration of these placements will be tightly managed. In addition an extra-ordinary panel has been scheduled to review all the high cost residential placements to ensure that these placements are ended safely as soon as possible to reduce the costs, and ensure that they are best value.</w:t>
      </w:r>
    </w:p>
    <w:p w:rsidR="00D9620B" w:rsidRPr="00D9620B" w:rsidRDefault="00D9620B" w:rsidP="00D9620B">
      <w:pPr>
        <w:ind w:left="720"/>
        <w:rPr>
          <w:rFonts w:eastAsia="Calibri" w:cs="Arial"/>
          <w:szCs w:val="24"/>
        </w:rPr>
      </w:pPr>
    </w:p>
    <w:p w:rsidR="00D9620B" w:rsidRPr="00D9620B" w:rsidRDefault="00D9620B" w:rsidP="00D9620B">
      <w:pPr>
        <w:numPr>
          <w:ilvl w:val="0"/>
          <w:numId w:val="24"/>
        </w:numPr>
        <w:suppressAutoHyphens/>
        <w:rPr>
          <w:rFonts w:cs="Arial"/>
          <w:szCs w:val="24"/>
          <w:lang w:eastAsia="ar-SA"/>
        </w:rPr>
      </w:pPr>
      <w:r w:rsidRPr="00D9620B">
        <w:rPr>
          <w:rFonts w:cs="Arial"/>
          <w:b/>
          <w:szCs w:val="24"/>
          <w:lang w:eastAsia="ar-SA"/>
        </w:rPr>
        <w:t>Children and Young People’s Service staffing £0.779m overspend</w:t>
      </w:r>
      <w:r w:rsidRPr="00D9620B">
        <w:rPr>
          <w:rFonts w:cs="Arial"/>
          <w:szCs w:val="24"/>
          <w:lang w:eastAsia="ar-SA"/>
        </w:rPr>
        <w:t xml:space="preserve"> as a result of agency and interims covering vacancies and sickness and additional staff to manage caseloads.</w:t>
      </w:r>
    </w:p>
    <w:p w:rsidR="00D9620B" w:rsidRPr="00D9620B" w:rsidRDefault="00D9620B" w:rsidP="00D9620B">
      <w:pPr>
        <w:ind w:left="720"/>
        <w:rPr>
          <w:rFonts w:eastAsia="Calibri" w:cs="Arial"/>
          <w:szCs w:val="24"/>
        </w:rPr>
      </w:pPr>
    </w:p>
    <w:p w:rsidR="00D9620B" w:rsidRPr="00D9620B" w:rsidRDefault="00D9620B" w:rsidP="00D9620B">
      <w:pPr>
        <w:numPr>
          <w:ilvl w:val="0"/>
          <w:numId w:val="24"/>
        </w:numPr>
        <w:suppressAutoHyphens/>
        <w:rPr>
          <w:rFonts w:cs="Arial"/>
          <w:szCs w:val="24"/>
          <w:lang w:eastAsia="ar-SA"/>
        </w:rPr>
      </w:pPr>
      <w:r w:rsidRPr="00D9620B">
        <w:rPr>
          <w:rFonts w:cs="Arial"/>
          <w:b/>
          <w:szCs w:val="24"/>
          <w:lang w:eastAsia="ar-SA"/>
        </w:rPr>
        <w:t>No Recourse to Public Funds (NRPF) overspend £0.589m</w:t>
      </w:r>
      <w:r w:rsidRPr="00D9620B">
        <w:rPr>
          <w:rFonts w:cs="Arial"/>
          <w:szCs w:val="24"/>
          <w:lang w:eastAsia="ar-SA"/>
        </w:rPr>
        <w:t xml:space="preserve"> due to families being supported by the Council. The welfare reforms, along with stricter enforcement of Asylum Legislation are the main causal factors for this demand, which is unpredictable in terms of volume and costs. The exit routes for ceasing funding are dependent on variable factors, many of which cannot be controlled by the Council. A bespoke worker has been recruited to focus specifically on these families to help reduce costs and mitigate the financial pressures on this budget. This has resulted in some overall reduction in costs in the last quarter, due to the worker being able to help 3 families find lasting solutions with no further cost to the Council. This post has paid for itself; and it will mitigate against rising costs in the future. However the trend is likely to be of increased costs.</w:t>
      </w:r>
    </w:p>
    <w:p w:rsidR="00D9620B" w:rsidRPr="00D9620B" w:rsidRDefault="00D9620B" w:rsidP="00D9620B">
      <w:pPr>
        <w:ind w:left="720"/>
        <w:rPr>
          <w:rFonts w:eastAsia="Calibri" w:cs="Arial"/>
          <w:szCs w:val="24"/>
        </w:rPr>
      </w:pPr>
    </w:p>
    <w:p w:rsidR="00D9620B" w:rsidRPr="00D9620B" w:rsidRDefault="0006114A" w:rsidP="003824AA">
      <w:pPr>
        <w:suppressAutoHyphens/>
        <w:ind w:firstLine="720"/>
        <w:rPr>
          <w:rFonts w:cs="Arial"/>
          <w:szCs w:val="24"/>
          <w:lang w:eastAsia="ar-SA"/>
        </w:rPr>
      </w:pPr>
      <w:r w:rsidRPr="00D9620B">
        <w:rPr>
          <w:rFonts w:cs="Arial"/>
          <w:szCs w:val="24"/>
          <w:lang w:eastAsia="ar-SA"/>
        </w:rPr>
        <w:t>These overspend</w:t>
      </w:r>
      <w:r>
        <w:rPr>
          <w:rFonts w:cs="Arial"/>
          <w:szCs w:val="24"/>
          <w:lang w:eastAsia="ar-SA"/>
        </w:rPr>
        <w:t>s</w:t>
      </w:r>
      <w:r w:rsidR="00D9620B" w:rsidRPr="00D9620B">
        <w:rPr>
          <w:rFonts w:cs="Arial"/>
          <w:szCs w:val="24"/>
          <w:lang w:eastAsia="ar-SA"/>
        </w:rPr>
        <w:t xml:space="preserve"> were offset by:</w:t>
      </w:r>
    </w:p>
    <w:p w:rsidR="00D9620B" w:rsidRPr="00D9620B" w:rsidRDefault="00D9620B" w:rsidP="00D9620B">
      <w:pPr>
        <w:suppressAutoHyphens/>
        <w:rPr>
          <w:rFonts w:cs="Arial"/>
          <w:szCs w:val="24"/>
          <w:lang w:eastAsia="ar-SA"/>
        </w:rPr>
      </w:pPr>
    </w:p>
    <w:p w:rsidR="00D9620B" w:rsidRPr="00D9620B" w:rsidRDefault="00D9620B" w:rsidP="00D9620B">
      <w:pPr>
        <w:numPr>
          <w:ilvl w:val="0"/>
          <w:numId w:val="25"/>
        </w:numPr>
        <w:suppressAutoHyphens/>
        <w:rPr>
          <w:rFonts w:cs="Arial"/>
          <w:szCs w:val="24"/>
          <w:lang w:eastAsia="ar-SA"/>
        </w:rPr>
      </w:pPr>
      <w:r w:rsidRPr="00D9620B">
        <w:rPr>
          <w:rFonts w:cs="Arial"/>
          <w:szCs w:val="24"/>
          <w:lang w:eastAsia="ar-SA"/>
        </w:rPr>
        <w:t>Use of one off children’s social care reserve of £0.647m.</w:t>
      </w:r>
    </w:p>
    <w:p w:rsidR="00D9620B" w:rsidRPr="00D9620B" w:rsidRDefault="00D9620B" w:rsidP="00D9620B">
      <w:pPr>
        <w:suppressAutoHyphens/>
        <w:ind w:left="780"/>
        <w:rPr>
          <w:rFonts w:cs="Arial"/>
          <w:szCs w:val="24"/>
          <w:lang w:eastAsia="ar-SA"/>
        </w:rPr>
      </w:pPr>
    </w:p>
    <w:p w:rsidR="00D9620B" w:rsidRDefault="00D9620B" w:rsidP="00D9620B">
      <w:pPr>
        <w:numPr>
          <w:ilvl w:val="0"/>
          <w:numId w:val="25"/>
        </w:numPr>
        <w:suppressAutoHyphens/>
        <w:rPr>
          <w:rFonts w:cs="Arial"/>
          <w:szCs w:val="24"/>
          <w:lang w:eastAsia="ar-SA"/>
        </w:rPr>
      </w:pPr>
      <w:r w:rsidRPr="00D9620B">
        <w:rPr>
          <w:rFonts w:cs="Arial"/>
          <w:szCs w:val="24"/>
          <w:lang w:eastAsia="ar-SA"/>
        </w:rPr>
        <w:t>Non-frontline staff vacancies and a number of centrally held management actions of £2.884m including demographic growth £413k</w:t>
      </w:r>
      <w:r w:rsidR="00C55A02">
        <w:rPr>
          <w:rFonts w:cs="Arial"/>
          <w:szCs w:val="24"/>
          <w:lang w:eastAsia="ar-SA"/>
        </w:rPr>
        <w:t>,</w:t>
      </w:r>
      <w:r w:rsidRPr="00D9620B">
        <w:rPr>
          <w:rFonts w:cs="Arial"/>
          <w:szCs w:val="24"/>
          <w:lang w:eastAsia="ar-SA"/>
        </w:rPr>
        <w:t xml:space="preserve"> flexible use of grants £0.955m</w:t>
      </w:r>
      <w:r w:rsidR="00C55A02">
        <w:rPr>
          <w:rFonts w:cs="Arial"/>
          <w:szCs w:val="24"/>
          <w:lang w:eastAsia="ar-SA"/>
        </w:rPr>
        <w:t xml:space="preserve">, additional partner agency income £0.641m, 2016/17 savings achieved early £227k, adoption grant not anticipated £114k and various other in year management actions totalling £534k. </w:t>
      </w:r>
      <w:r w:rsidRPr="00D9620B">
        <w:rPr>
          <w:rFonts w:cs="Arial"/>
          <w:szCs w:val="24"/>
          <w:lang w:eastAsia="ar-SA"/>
        </w:rPr>
        <w:t xml:space="preserve"> Of these mitigating actions £2.032m were one off.</w:t>
      </w:r>
    </w:p>
    <w:p w:rsidR="00E0402D" w:rsidRDefault="00E0402D" w:rsidP="00074EF4">
      <w:pPr>
        <w:pStyle w:val="ListParagraph"/>
        <w:spacing w:after="200" w:line="276" w:lineRule="auto"/>
        <w:ind w:left="374"/>
        <w:rPr>
          <w:rFonts w:cs="Arial"/>
          <w:szCs w:val="24"/>
          <w:lang w:eastAsia="ar-SA"/>
        </w:rPr>
      </w:pPr>
    </w:p>
    <w:p w:rsidR="00E0402D" w:rsidRPr="00074EF4" w:rsidRDefault="00E0402D" w:rsidP="003824AA">
      <w:pPr>
        <w:pStyle w:val="ListParagraph"/>
        <w:spacing w:after="200" w:line="276" w:lineRule="auto"/>
        <w:ind w:left="374" w:firstLine="346"/>
        <w:rPr>
          <w:rFonts w:cs="Arial"/>
          <w:b/>
          <w:szCs w:val="24"/>
          <w:lang w:eastAsia="ar-SA"/>
        </w:rPr>
      </w:pPr>
      <w:r w:rsidRPr="00074EF4">
        <w:rPr>
          <w:rFonts w:cs="Arial"/>
          <w:b/>
          <w:szCs w:val="24"/>
          <w:lang w:eastAsia="ar-SA"/>
        </w:rPr>
        <w:t>Regeneration</w:t>
      </w:r>
      <w:r w:rsidR="00EC2497">
        <w:rPr>
          <w:rFonts w:cs="Arial"/>
          <w:b/>
          <w:szCs w:val="24"/>
          <w:lang w:eastAsia="ar-SA"/>
        </w:rPr>
        <w:t>, Enterprise and Planning</w:t>
      </w:r>
    </w:p>
    <w:p w:rsidR="00E0402D" w:rsidRPr="00074EF4" w:rsidRDefault="001A7954" w:rsidP="003824AA">
      <w:pPr>
        <w:pStyle w:val="ListParagraph"/>
        <w:spacing w:after="240"/>
        <w:ind w:left="567" w:right="306" w:hanging="426"/>
        <w:jc w:val="both"/>
        <w:rPr>
          <w:rFonts w:cs="Arial"/>
          <w:szCs w:val="24"/>
          <w:lang w:eastAsia="ar-SA"/>
        </w:rPr>
      </w:pPr>
      <w:r>
        <w:rPr>
          <w:rFonts w:cs="Arial"/>
          <w:szCs w:val="24"/>
          <w:lang w:eastAsia="ar-SA"/>
        </w:rPr>
        <w:t xml:space="preserve">12. </w:t>
      </w:r>
      <w:r w:rsidR="00E0402D" w:rsidRPr="00074EF4">
        <w:rPr>
          <w:rFonts w:cs="Arial"/>
          <w:szCs w:val="24"/>
          <w:lang w:eastAsia="ar-SA"/>
        </w:rPr>
        <w:t xml:space="preserve">The outturn position for Regeneration, Enterprise and Planning division is an </w:t>
      </w:r>
      <w:r w:rsidR="007808A8">
        <w:rPr>
          <w:rFonts w:cs="Arial"/>
          <w:szCs w:val="24"/>
          <w:lang w:eastAsia="ar-SA"/>
        </w:rPr>
        <w:t>unde</w:t>
      </w:r>
      <w:r w:rsidR="00713DCF">
        <w:rPr>
          <w:rFonts w:cs="Arial"/>
          <w:szCs w:val="24"/>
          <w:lang w:eastAsia="ar-SA"/>
        </w:rPr>
        <w:t xml:space="preserve">r </w:t>
      </w:r>
      <w:r w:rsidR="007808A8">
        <w:rPr>
          <w:rFonts w:cs="Arial"/>
          <w:szCs w:val="24"/>
          <w:lang w:eastAsia="ar-SA"/>
        </w:rPr>
        <w:t>spend of £182</w:t>
      </w:r>
      <w:r w:rsidR="00E0402D" w:rsidRPr="00074EF4">
        <w:rPr>
          <w:rFonts w:cs="Arial"/>
          <w:szCs w:val="24"/>
          <w:lang w:eastAsia="ar-SA"/>
        </w:rPr>
        <w:t>k</w:t>
      </w:r>
      <w:r w:rsidR="00725BC3">
        <w:rPr>
          <w:rFonts w:cs="Arial"/>
          <w:szCs w:val="24"/>
          <w:lang w:eastAsia="ar-SA"/>
        </w:rPr>
        <w:t>, which reduces to £7k after allowing for the recommended carry forward requests of £175k.</w:t>
      </w:r>
      <w:r w:rsidR="00E0402D" w:rsidRPr="00074EF4">
        <w:rPr>
          <w:rFonts w:cs="Arial"/>
          <w:szCs w:val="24"/>
          <w:lang w:eastAsia="ar-SA"/>
        </w:rPr>
        <w:t xml:space="preserve">  The key reasons </w:t>
      </w:r>
      <w:r w:rsidR="00725BC3">
        <w:rPr>
          <w:rFonts w:cs="Arial"/>
          <w:szCs w:val="24"/>
          <w:lang w:eastAsia="ar-SA"/>
        </w:rPr>
        <w:t xml:space="preserve">for the variance </w:t>
      </w:r>
      <w:r w:rsidR="00E0402D" w:rsidRPr="00074EF4">
        <w:rPr>
          <w:rFonts w:cs="Arial"/>
          <w:szCs w:val="24"/>
          <w:lang w:eastAsia="ar-SA"/>
        </w:rPr>
        <w:t>are detailed below:</w:t>
      </w:r>
    </w:p>
    <w:p w:rsidR="00E0402D" w:rsidRPr="00074EF4" w:rsidRDefault="00E0402D" w:rsidP="003824AA">
      <w:pPr>
        <w:spacing w:after="240"/>
        <w:ind w:left="720" w:right="306"/>
        <w:jc w:val="both"/>
        <w:rPr>
          <w:rFonts w:cs="Arial"/>
          <w:szCs w:val="24"/>
          <w:lang w:eastAsia="ar-SA"/>
        </w:rPr>
      </w:pPr>
      <w:r w:rsidRPr="00074EF4">
        <w:rPr>
          <w:rFonts w:cs="Arial"/>
          <w:szCs w:val="24"/>
          <w:lang w:eastAsia="ar-SA"/>
        </w:rPr>
        <w:t xml:space="preserve">●   Additional income and one-off under spends – under spend on economic development salaries (£86k) relating in the main to funds secured to provide subsidies for the apprentices employed and unused planning  grant income (£108k) for which a carry forward is requested.  </w:t>
      </w:r>
    </w:p>
    <w:p w:rsidR="00E0402D" w:rsidRDefault="007808A8" w:rsidP="003824AA">
      <w:pPr>
        <w:pStyle w:val="ListParagraph"/>
        <w:spacing w:after="240"/>
        <w:ind w:left="505" w:right="306" w:firstLine="62"/>
        <w:jc w:val="both"/>
        <w:rPr>
          <w:rFonts w:cs="Arial"/>
          <w:szCs w:val="24"/>
          <w:lang w:eastAsia="ar-SA"/>
        </w:rPr>
      </w:pPr>
      <w:r>
        <w:rPr>
          <w:rFonts w:cs="Arial"/>
          <w:szCs w:val="24"/>
          <w:lang w:eastAsia="ar-SA"/>
        </w:rPr>
        <w:t xml:space="preserve">The </w:t>
      </w:r>
      <w:r w:rsidR="00725BC3">
        <w:rPr>
          <w:rFonts w:cs="Arial"/>
          <w:szCs w:val="24"/>
          <w:lang w:eastAsia="ar-SA"/>
        </w:rPr>
        <w:t xml:space="preserve">recommended carry forward requests of £175k are set out at </w:t>
      </w:r>
      <w:r w:rsidR="00867E30">
        <w:rPr>
          <w:rFonts w:cs="Arial"/>
          <w:szCs w:val="24"/>
          <w:lang w:eastAsia="ar-SA"/>
        </w:rPr>
        <w:t xml:space="preserve">Appendix </w:t>
      </w:r>
      <w:r w:rsidR="00194B89">
        <w:rPr>
          <w:rFonts w:cs="Arial"/>
          <w:szCs w:val="24"/>
          <w:lang w:eastAsia="ar-SA"/>
        </w:rPr>
        <w:t>1</w:t>
      </w:r>
      <w:r w:rsidR="00867E30">
        <w:rPr>
          <w:rFonts w:cs="Arial"/>
          <w:szCs w:val="24"/>
          <w:lang w:eastAsia="ar-SA"/>
        </w:rPr>
        <w:t>.</w:t>
      </w:r>
    </w:p>
    <w:p w:rsidR="007808A8" w:rsidRDefault="007808A8" w:rsidP="00E0402D">
      <w:pPr>
        <w:pStyle w:val="ListParagraph"/>
        <w:spacing w:after="240"/>
        <w:ind w:left="374" w:right="306"/>
        <w:jc w:val="both"/>
        <w:rPr>
          <w:rFonts w:cs="Arial"/>
          <w:szCs w:val="24"/>
          <w:lang w:eastAsia="ar-SA"/>
        </w:rPr>
      </w:pPr>
    </w:p>
    <w:p w:rsidR="00864EF6" w:rsidRDefault="00864EF6" w:rsidP="003824AA">
      <w:pPr>
        <w:pStyle w:val="ListParagraph"/>
        <w:spacing w:after="240"/>
        <w:ind w:left="505" w:right="306" w:firstLine="62"/>
        <w:jc w:val="both"/>
        <w:rPr>
          <w:rFonts w:cs="Arial"/>
          <w:b/>
          <w:szCs w:val="24"/>
          <w:lang w:eastAsia="ar-SA"/>
        </w:rPr>
      </w:pPr>
    </w:p>
    <w:p w:rsidR="007808A8" w:rsidRDefault="00FA2EAA" w:rsidP="003824AA">
      <w:pPr>
        <w:pStyle w:val="ListParagraph"/>
        <w:spacing w:after="240"/>
        <w:ind w:left="505" w:right="306" w:firstLine="62"/>
        <w:jc w:val="both"/>
        <w:rPr>
          <w:rFonts w:cs="Arial"/>
          <w:b/>
          <w:szCs w:val="24"/>
          <w:lang w:eastAsia="ar-SA"/>
        </w:rPr>
      </w:pPr>
      <w:r w:rsidRPr="00074EF4">
        <w:rPr>
          <w:rFonts w:cs="Arial"/>
          <w:b/>
          <w:szCs w:val="24"/>
          <w:lang w:eastAsia="ar-SA"/>
        </w:rPr>
        <w:lastRenderedPageBreak/>
        <w:t>Business Support</w:t>
      </w:r>
    </w:p>
    <w:p w:rsidR="00FA2EAA" w:rsidRPr="00713DCF" w:rsidRDefault="00FA2EAA" w:rsidP="003824AA">
      <w:pPr>
        <w:pStyle w:val="ListParagraph"/>
        <w:numPr>
          <w:ilvl w:val="0"/>
          <w:numId w:val="3"/>
        </w:numPr>
        <w:tabs>
          <w:tab w:val="clear" w:pos="1080"/>
          <w:tab w:val="num" w:pos="709"/>
        </w:tabs>
        <w:spacing w:after="240"/>
        <w:ind w:left="709" w:right="306" w:hanging="709"/>
        <w:jc w:val="both"/>
        <w:rPr>
          <w:rFonts w:cs="Arial"/>
          <w:b/>
          <w:szCs w:val="24"/>
          <w:lang w:eastAsia="ar-SA"/>
        </w:rPr>
      </w:pPr>
      <w:r w:rsidRPr="004309A2">
        <w:rPr>
          <w:rFonts w:cs="Arial"/>
          <w:szCs w:val="24"/>
          <w:lang w:eastAsia="ar-SA"/>
        </w:rPr>
        <w:t>The outturn position for Business Support is an overspend of £654k. The key reason</w:t>
      </w:r>
      <w:r w:rsidR="003851F6" w:rsidRPr="003F7E58">
        <w:rPr>
          <w:rFonts w:cs="Arial"/>
          <w:szCs w:val="24"/>
          <w:lang w:eastAsia="ar-SA"/>
        </w:rPr>
        <w:t xml:space="preserve"> relates to staff</w:t>
      </w:r>
      <w:r w:rsidR="0016437B" w:rsidRPr="003F7E58">
        <w:rPr>
          <w:rFonts w:cs="Arial"/>
          <w:szCs w:val="24"/>
          <w:lang w:eastAsia="ar-SA"/>
        </w:rPr>
        <w:t>ing costs.  However, there are plans being developed to mitigate this in 2016/17, through the outsourcing of scanning and indexing, a review of postage and printing costs and a staffing restructure.</w:t>
      </w:r>
    </w:p>
    <w:p w:rsidR="009E7168" w:rsidRDefault="009E7168" w:rsidP="00074EF4">
      <w:pPr>
        <w:pStyle w:val="ListParagraph"/>
        <w:spacing w:after="200" w:line="276" w:lineRule="auto"/>
        <w:ind w:left="374"/>
        <w:rPr>
          <w:rFonts w:cs="Arial"/>
          <w:b/>
        </w:rPr>
      </w:pPr>
    </w:p>
    <w:p w:rsidR="008A7A3D" w:rsidRDefault="00120AB1" w:rsidP="003824AA">
      <w:pPr>
        <w:pStyle w:val="ListParagraph"/>
        <w:spacing w:after="200" w:line="276" w:lineRule="auto"/>
        <w:ind w:left="734" w:hanging="25"/>
        <w:rPr>
          <w:rFonts w:cs="Arial"/>
          <w:b/>
        </w:rPr>
      </w:pPr>
      <w:r w:rsidRPr="00FA23DE">
        <w:rPr>
          <w:rFonts w:cs="Arial"/>
          <w:b/>
        </w:rPr>
        <w:t>I</w:t>
      </w:r>
      <w:r w:rsidR="00740CB5">
        <w:rPr>
          <w:rFonts w:cs="Arial"/>
          <w:b/>
        </w:rPr>
        <w:t xml:space="preserve">NFLATION </w:t>
      </w:r>
      <w:r w:rsidR="00445AED">
        <w:rPr>
          <w:rFonts w:cs="Arial"/>
          <w:b/>
        </w:rPr>
        <w:t>AND CORPORATE ITEMS</w:t>
      </w:r>
    </w:p>
    <w:p w:rsidR="002D0F71" w:rsidRPr="00E26796" w:rsidRDefault="005C14AD" w:rsidP="003824AA">
      <w:pPr>
        <w:pStyle w:val="ListParagraph"/>
        <w:numPr>
          <w:ilvl w:val="0"/>
          <w:numId w:val="3"/>
        </w:numPr>
        <w:tabs>
          <w:tab w:val="clear" w:pos="1080"/>
          <w:tab w:val="num" w:pos="0"/>
          <w:tab w:val="left" w:pos="567"/>
        </w:tabs>
        <w:spacing w:after="240"/>
        <w:ind w:left="709" w:right="306" w:hanging="709"/>
        <w:rPr>
          <w:rFonts w:cs="Arial"/>
        </w:rPr>
      </w:pPr>
      <w:r w:rsidRPr="00E26796">
        <w:rPr>
          <w:rFonts w:cs="Arial"/>
        </w:rPr>
        <w:t>The net underspend for 2015/16 for inflation and corporate items is £1.4m.  There are a number of items that mak</w:t>
      </w:r>
      <w:r w:rsidR="00AE54A6" w:rsidRPr="00E26796">
        <w:rPr>
          <w:rFonts w:cs="Arial"/>
        </w:rPr>
        <w:t>e up this underspend</w:t>
      </w:r>
      <w:r w:rsidR="00AE54A6" w:rsidRPr="002F1506">
        <w:rPr>
          <w:rFonts w:cs="Arial"/>
        </w:rPr>
        <w:t xml:space="preserve">.  £350k </w:t>
      </w:r>
      <w:r w:rsidR="00AE54A6" w:rsidRPr="00EF3353">
        <w:rPr>
          <w:rFonts w:cs="Arial"/>
        </w:rPr>
        <w:t>U</w:t>
      </w:r>
      <w:r w:rsidR="00597DB8" w:rsidRPr="00074EF4">
        <w:rPr>
          <w:rFonts w:cs="Arial"/>
        </w:rPr>
        <w:t xml:space="preserve">tility </w:t>
      </w:r>
      <w:r w:rsidR="002F651B">
        <w:rPr>
          <w:rFonts w:cs="Arial"/>
        </w:rPr>
        <w:t>I</w:t>
      </w:r>
      <w:r w:rsidR="0025407C" w:rsidRPr="00E26796">
        <w:rPr>
          <w:rFonts w:cs="Arial"/>
        </w:rPr>
        <w:t xml:space="preserve">nflation </w:t>
      </w:r>
      <w:r w:rsidR="002F651B">
        <w:rPr>
          <w:rFonts w:cs="Arial"/>
        </w:rPr>
        <w:t>C</w:t>
      </w:r>
      <w:r w:rsidR="00597DB8" w:rsidRPr="00074EF4">
        <w:rPr>
          <w:rFonts w:cs="Arial"/>
        </w:rPr>
        <w:t>ontingency</w:t>
      </w:r>
      <w:r w:rsidR="0025407C" w:rsidRPr="00E26796">
        <w:rPr>
          <w:rFonts w:cs="Arial"/>
        </w:rPr>
        <w:t xml:space="preserve"> </w:t>
      </w:r>
      <w:r w:rsidR="00363012">
        <w:rPr>
          <w:rFonts w:cs="Arial"/>
        </w:rPr>
        <w:t xml:space="preserve">not drawn down in year </w:t>
      </w:r>
      <w:r w:rsidR="00AE54A6" w:rsidRPr="002F1506">
        <w:rPr>
          <w:rFonts w:cs="Arial"/>
        </w:rPr>
        <w:t xml:space="preserve"> </w:t>
      </w:r>
      <w:r w:rsidR="00AE54A6">
        <w:t xml:space="preserve">£200k write back on the Good Received /Invoice Received suspense account, £70k in relation to subscription charges, £77k in lower </w:t>
      </w:r>
      <w:r w:rsidR="002F651B">
        <w:t xml:space="preserve">External </w:t>
      </w:r>
      <w:r w:rsidR="00AE54A6">
        <w:t xml:space="preserve">Audit </w:t>
      </w:r>
      <w:r w:rsidR="002F651B">
        <w:t>fees</w:t>
      </w:r>
      <w:r w:rsidR="00AE54A6">
        <w:t xml:space="preserve"> and £700k in relation to corporate provisions not required.</w:t>
      </w:r>
    </w:p>
    <w:p w:rsidR="002D0F71" w:rsidRPr="003A64B1" w:rsidRDefault="002D0F71" w:rsidP="003824AA">
      <w:pPr>
        <w:spacing w:after="240"/>
        <w:ind w:right="306" w:firstLine="709"/>
        <w:rPr>
          <w:rFonts w:cs="Arial"/>
        </w:rPr>
      </w:pPr>
      <w:r w:rsidRPr="00074EF4">
        <w:rPr>
          <w:b/>
        </w:rPr>
        <w:t>CONTINGENCY</w:t>
      </w:r>
      <w:r w:rsidR="00AE54A6" w:rsidRPr="00074EF4">
        <w:rPr>
          <w:b/>
        </w:rPr>
        <w:t xml:space="preserve"> </w:t>
      </w:r>
    </w:p>
    <w:p w:rsidR="002D0F71" w:rsidRPr="00074EF4" w:rsidRDefault="002D0F71" w:rsidP="003824AA">
      <w:pPr>
        <w:pStyle w:val="ListParagraph"/>
        <w:numPr>
          <w:ilvl w:val="0"/>
          <w:numId w:val="3"/>
        </w:numPr>
        <w:tabs>
          <w:tab w:val="clear" w:pos="1080"/>
          <w:tab w:val="num" w:pos="709"/>
        </w:tabs>
        <w:spacing w:after="240"/>
        <w:ind w:left="709" w:right="304" w:hanging="709"/>
        <w:jc w:val="both"/>
        <w:rPr>
          <w:rFonts w:cs="Arial"/>
        </w:rPr>
      </w:pPr>
      <w:r w:rsidRPr="00074EF4">
        <w:rPr>
          <w:rFonts w:cs="Arial"/>
        </w:rPr>
        <w:t>There have been no calls on the contingency for unforeseen items therefore an under spend of £</w:t>
      </w:r>
      <w:r w:rsidR="00E60CC8" w:rsidRPr="00074EF4">
        <w:rPr>
          <w:rFonts w:cs="Arial"/>
        </w:rPr>
        <w:t>1</w:t>
      </w:r>
      <w:r w:rsidR="009B00C5" w:rsidRPr="00074EF4">
        <w:rPr>
          <w:rFonts w:cs="Arial"/>
        </w:rPr>
        <w:t>.248m</w:t>
      </w:r>
      <w:r w:rsidRPr="00074EF4">
        <w:rPr>
          <w:rFonts w:cs="Arial"/>
        </w:rPr>
        <w:t xml:space="preserve"> is contributing to the overall </w:t>
      </w:r>
      <w:r w:rsidR="003A64B1">
        <w:rPr>
          <w:rFonts w:cs="Arial"/>
        </w:rPr>
        <w:t xml:space="preserve">underspend </w:t>
      </w:r>
      <w:r w:rsidRPr="00074EF4">
        <w:rPr>
          <w:rFonts w:cs="Arial"/>
        </w:rPr>
        <w:t>position. This contingency stands at £1.248m in</w:t>
      </w:r>
      <w:r w:rsidR="009B00C5" w:rsidRPr="00074EF4">
        <w:rPr>
          <w:rFonts w:cs="Arial"/>
        </w:rPr>
        <w:t xml:space="preserve"> 2016/17.</w:t>
      </w:r>
    </w:p>
    <w:p w:rsidR="002D0F71" w:rsidRPr="00AE54A6" w:rsidRDefault="002D0F71" w:rsidP="00074EF4">
      <w:pPr>
        <w:pStyle w:val="ListParagraph"/>
        <w:spacing w:after="240"/>
        <w:ind w:left="502" w:right="306"/>
        <w:rPr>
          <w:rFonts w:cs="Arial"/>
        </w:rPr>
      </w:pPr>
    </w:p>
    <w:p w:rsidR="00B04CEF" w:rsidRPr="000C4436" w:rsidRDefault="00B04CEF" w:rsidP="003824AA">
      <w:pPr>
        <w:spacing w:after="240"/>
        <w:ind w:right="306" w:firstLine="567"/>
        <w:rPr>
          <w:rFonts w:cs="Arial"/>
          <w:b/>
        </w:rPr>
      </w:pPr>
      <w:r w:rsidRPr="000C4436">
        <w:rPr>
          <w:rFonts w:cs="Arial"/>
          <w:b/>
        </w:rPr>
        <w:t>C</w:t>
      </w:r>
      <w:r w:rsidR="00F91A58" w:rsidRPr="000C4436">
        <w:rPr>
          <w:rFonts w:cs="Arial"/>
          <w:b/>
        </w:rPr>
        <w:t>APITAL FINANCING AND INTEREST</w:t>
      </w:r>
    </w:p>
    <w:p w:rsidR="00F91A58" w:rsidRPr="00074EF4" w:rsidRDefault="00F91A58" w:rsidP="003824AA">
      <w:pPr>
        <w:pStyle w:val="ListParagraph"/>
        <w:numPr>
          <w:ilvl w:val="0"/>
          <w:numId w:val="3"/>
        </w:numPr>
        <w:tabs>
          <w:tab w:val="clear" w:pos="1080"/>
          <w:tab w:val="num" w:pos="567"/>
        </w:tabs>
        <w:spacing w:after="240"/>
        <w:ind w:left="567" w:right="306" w:hanging="567"/>
        <w:rPr>
          <w:rFonts w:cs="Arial"/>
        </w:rPr>
      </w:pPr>
      <w:r w:rsidRPr="00074EF4">
        <w:rPr>
          <w:rFonts w:cs="Arial"/>
        </w:rPr>
        <w:t>The net underspend of £138k</w:t>
      </w:r>
      <w:r w:rsidR="000C4436" w:rsidRPr="000C4436">
        <w:rPr>
          <w:rFonts w:cs="Arial"/>
        </w:rPr>
        <w:t xml:space="preserve"> is as a </w:t>
      </w:r>
      <w:r w:rsidR="000C4436" w:rsidRPr="00074EF4">
        <w:rPr>
          <w:rFonts w:cs="Arial"/>
        </w:rPr>
        <w:t>result of</w:t>
      </w:r>
      <w:r w:rsidRPr="00074EF4">
        <w:rPr>
          <w:rFonts w:cs="Arial"/>
        </w:rPr>
        <w:t xml:space="preserve"> </w:t>
      </w:r>
      <w:r w:rsidR="00363012">
        <w:rPr>
          <w:rFonts w:cs="Arial"/>
        </w:rPr>
        <w:t xml:space="preserve">higher </w:t>
      </w:r>
      <w:r w:rsidR="00363012" w:rsidRPr="00074EF4">
        <w:rPr>
          <w:rFonts w:cs="Arial"/>
        </w:rPr>
        <w:t>investment</w:t>
      </w:r>
      <w:r w:rsidRPr="00074EF4">
        <w:rPr>
          <w:rFonts w:cs="Arial"/>
        </w:rPr>
        <w:t xml:space="preserve"> income </w:t>
      </w:r>
      <w:r w:rsidR="002F651B">
        <w:rPr>
          <w:rFonts w:cs="Arial"/>
        </w:rPr>
        <w:t>than budgeted.</w:t>
      </w:r>
      <w:r w:rsidR="00F036E7">
        <w:rPr>
          <w:rFonts w:cs="Arial"/>
        </w:rPr>
        <w:t xml:space="preserve">  Although it is not coming through as an underspend in 2015/16, </w:t>
      </w:r>
      <w:r w:rsidR="004309A2">
        <w:rPr>
          <w:rFonts w:cs="Arial"/>
        </w:rPr>
        <w:t xml:space="preserve">the slippage in the capital programme has resulted in </w:t>
      </w:r>
      <w:r w:rsidR="00F036E7">
        <w:rPr>
          <w:rFonts w:cs="Arial"/>
        </w:rPr>
        <w:t xml:space="preserve">a reduced </w:t>
      </w:r>
      <w:r w:rsidR="004309A2">
        <w:rPr>
          <w:rFonts w:cs="Arial"/>
        </w:rPr>
        <w:t xml:space="preserve">cost in capital financing costs in relation to the amount of minimum revenue provision (MRP) charges.  </w:t>
      </w:r>
      <w:r w:rsidR="00F036E7">
        <w:rPr>
          <w:rFonts w:cs="Arial"/>
        </w:rPr>
        <w:t xml:space="preserve">There is no underspend in 2015/16, as </w:t>
      </w:r>
      <w:r w:rsidR="004309A2">
        <w:rPr>
          <w:rFonts w:cs="Arial"/>
        </w:rPr>
        <w:t>the MRP charges made in 2015/16 were m</w:t>
      </w:r>
      <w:r w:rsidR="00F036E7">
        <w:rPr>
          <w:rFonts w:cs="Arial"/>
        </w:rPr>
        <w:t>aintained at the budgeted level.</w:t>
      </w:r>
      <w:r w:rsidR="004309A2">
        <w:rPr>
          <w:rFonts w:cs="Arial"/>
        </w:rPr>
        <w:t xml:space="preserve"> By maintaining charges at the budgeted level, it enables flexibility in future years, where it will then be possible to apply the </w:t>
      </w:r>
      <w:r w:rsidR="00F036E7">
        <w:rPr>
          <w:rFonts w:cs="Arial"/>
        </w:rPr>
        <w:t xml:space="preserve">over </w:t>
      </w:r>
      <w:r w:rsidR="004309A2">
        <w:rPr>
          <w:rFonts w:cs="Arial"/>
        </w:rPr>
        <w:t>provision made in 2015/16 to future years</w:t>
      </w:r>
      <w:r w:rsidR="00F036E7">
        <w:rPr>
          <w:rFonts w:cs="Arial"/>
        </w:rPr>
        <w:t xml:space="preserve"> MRP requirements</w:t>
      </w:r>
      <w:r w:rsidR="004309A2">
        <w:rPr>
          <w:rFonts w:cs="Arial"/>
        </w:rPr>
        <w:t xml:space="preserve">.  </w:t>
      </w:r>
    </w:p>
    <w:p w:rsidR="003906AD" w:rsidRDefault="00C225AD" w:rsidP="003824AA">
      <w:pPr>
        <w:ind w:firstLine="567"/>
        <w:rPr>
          <w:b/>
        </w:rPr>
      </w:pPr>
      <w:r>
        <w:rPr>
          <w:b/>
        </w:rPr>
        <w:t>GRANTS</w:t>
      </w:r>
    </w:p>
    <w:p w:rsidR="00BB1ECE" w:rsidRPr="0057184D" w:rsidRDefault="00BB1ECE" w:rsidP="00074EF4">
      <w:pPr>
        <w:rPr>
          <w:b/>
        </w:rPr>
      </w:pPr>
    </w:p>
    <w:p w:rsidR="003906AD" w:rsidRPr="00074EF4" w:rsidRDefault="003906AD" w:rsidP="003824AA">
      <w:pPr>
        <w:pStyle w:val="ListParagraph"/>
        <w:numPr>
          <w:ilvl w:val="0"/>
          <w:numId w:val="3"/>
        </w:numPr>
        <w:tabs>
          <w:tab w:val="clear" w:pos="1080"/>
          <w:tab w:val="num" w:pos="567"/>
        </w:tabs>
        <w:ind w:left="567" w:right="304" w:hanging="567"/>
        <w:jc w:val="both"/>
        <w:rPr>
          <w:rFonts w:cs="Arial"/>
        </w:rPr>
      </w:pPr>
      <w:r w:rsidRPr="00074EF4">
        <w:rPr>
          <w:rFonts w:cs="Arial"/>
        </w:rPr>
        <w:t>Additional grant income of £8</w:t>
      </w:r>
      <w:r w:rsidR="00436EBA">
        <w:rPr>
          <w:rFonts w:cs="Arial"/>
        </w:rPr>
        <w:t>2</w:t>
      </w:r>
      <w:r w:rsidRPr="00074EF4">
        <w:rPr>
          <w:rFonts w:cs="Arial"/>
        </w:rPr>
        <w:t xml:space="preserve">4k was received during 2015/16 which contributes towards the underspend.  The main items were, £600k for section 31 grant, £97k of Education Support Grant and £104k of </w:t>
      </w:r>
      <w:r w:rsidRPr="009E7168">
        <w:t>new burdens funding in relation to search fees</w:t>
      </w:r>
      <w:r w:rsidRPr="00074EF4">
        <w:rPr>
          <w:rFonts w:cs="Arial"/>
        </w:rPr>
        <w:t>.</w:t>
      </w:r>
    </w:p>
    <w:p w:rsidR="003906AD" w:rsidRPr="00074EF4" w:rsidRDefault="003906AD" w:rsidP="00074EF4">
      <w:pPr>
        <w:ind w:right="304"/>
        <w:jc w:val="both"/>
        <w:rPr>
          <w:rFonts w:cs="Arial"/>
          <w:b/>
        </w:rPr>
      </w:pPr>
    </w:p>
    <w:p w:rsidR="003906AD" w:rsidRPr="00074EF4" w:rsidRDefault="003906AD" w:rsidP="003824AA">
      <w:pPr>
        <w:ind w:right="304" w:firstLine="567"/>
        <w:jc w:val="both"/>
        <w:rPr>
          <w:rFonts w:cs="Arial"/>
          <w:b/>
        </w:rPr>
      </w:pPr>
      <w:r w:rsidRPr="00074EF4">
        <w:rPr>
          <w:rFonts w:cs="Arial"/>
          <w:b/>
        </w:rPr>
        <w:t>RESERVES</w:t>
      </w:r>
      <w:r w:rsidR="00363012">
        <w:rPr>
          <w:rFonts w:cs="Arial"/>
          <w:b/>
        </w:rPr>
        <w:t xml:space="preserve"> </w:t>
      </w:r>
    </w:p>
    <w:p w:rsidR="003906AD" w:rsidRDefault="003906AD" w:rsidP="00074EF4">
      <w:pPr>
        <w:pStyle w:val="ListParagraph"/>
        <w:ind w:left="502" w:right="304"/>
        <w:jc w:val="both"/>
        <w:rPr>
          <w:rFonts w:cs="Arial"/>
          <w:color w:val="FF0000"/>
        </w:rPr>
      </w:pPr>
    </w:p>
    <w:p w:rsidR="0026578D" w:rsidRDefault="00F72A9F" w:rsidP="003824AA">
      <w:pPr>
        <w:pStyle w:val="ListParagraph"/>
        <w:numPr>
          <w:ilvl w:val="0"/>
          <w:numId w:val="3"/>
        </w:numPr>
        <w:tabs>
          <w:tab w:val="clear" w:pos="1080"/>
          <w:tab w:val="num" w:pos="567"/>
        </w:tabs>
        <w:ind w:left="567" w:right="304" w:hanging="567"/>
        <w:jc w:val="both"/>
        <w:rPr>
          <w:rFonts w:cs="Arial"/>
        </w:rPr>
      </w:pPr>
      <w:r w:rsidRPr="00074EF4">
        <w:rPr>
          <w:rFonts w:cs="Arial"/>
        </w:rPr>
        <w:t xml:space="preserve">The movement on </w:t>
      </w:r>
      <w:r w:rsidR="002F651B">
        <w:rPr>
          <w:rFonts w:cs="Arial"/>
        </w:rPr>
        <w:t xml:space="preserve">the main </w:t>
      </w:r>
      <w:r w:rsidRPr="00074EF4">
        <w:rPr>
          <w:rFonts w:cs="Arial"/>
        </w:rPr>
        <w:t xml:space="preserve">reserves is set out in the </w:t>
      </w:r>
      <w:r w:rsidR="002F651B">
        <w:rPr>
          <w:rFonts w:cs="Arial"/>
        </w:rPr>
        <w:t xml:space="preserve">following </w:t>
      </w:r>
      <w:r w:rsidRPr="00074EF4">
        <w:rPr>
          <w:rFonts w:cs="Arial"/>
        </w:rPr>
        <w:t xml:space="preserve">table </w:t>
      </w:r>
      <w:r w:rsidR="00C906C2">
        <w:rPr>
          <w:rFonts w:cs="Arial"/>
        </w:rPr>
        <w:t xml:space="preserve">, </w:t>
      </w:r>
      <w:r w:rsidR="002F651B">
        <w:rPr>
          <w:rFonts w:cs="Arial"/>
        </w:rPr>
        <w:t xml:space="preserve">supported by </w:t>
      </w:r>
      <w:r w:rsidR="00C906C2">
        <w:rPr>
          <w:rFonts w:cs="Arial"/>
        </w:rPr>
        <w:t xml:space="preserve">narrative .  A more detailed analysis of the movement in reserves is set out in Appendix </w:t>
      </w:r>
      <w:r w:rsidR="00194B89">
        <w:rPr>
          <w:rFonts w:cs="Arial"/>
        </w:rPr>
        <w:t>3</w:t>
      </w:r>
      <w:r w:rsidR="00C906C2">
        <w:rPr>
          <w:rFonts w:cs="Arial"/>
        </w:rPr>
        <w:t>.</w:t>
      </w:r>
      <w:r w:rsidR="000307A3" w:rsidRPr="00074EF4">
        <w:rPr>
          <w:rFonts w:cs="Arial"/>
        </w:rPr>
        <w:t xml:space="preserve"> </w:t>
      </w:r>
    </w:p>
    <w:p w:rsidR="0026578D" w:rsidRDefault="0026578D" w:rsidP="00074EF4">
      <w:pPr>
        <w:ind w:right="304"/>
        <w:jc w:val="both"/>
        <w:rPr>
          <w:rFonts w:cs="Arial"/>
        </w:rPr>
      </w:pPr>
    </w:p>
    <w:p w:rsidR="0026578D" w:rsidRDefault="0026578D" w:rsidP="00074EF4">
      <w:pPr>
        <w:ind w:right="304"/>
        <w:jc w:val="both"/>
        <w:rPr>
          <w:rFonts w:cs="Arial"/>
        </w:rPr>
      </w:pPr>
    </w:p>
    <w:p w:rsidR="00864EF6" w:rsidRDefault="00864EF6" w:rsidP="00074EF4">
      <w:pPr>
        <w:ind w:right="304"/>
        <w:jc w:val="both"/>
        <w:rPr>
          <w:rFonts w:cs="Arial"/>
          <w:b/>
        </w:rPr>
      </w:pPr>
    </w:p>
    <w:p w:rsidR="00864EF6" w:rsidRDefault="00864EF6" w:rsidP="00074EF4">
      <w:pPr>
        <w:ind w:right="304"/>
        <w:jc w:val="both"/>
        <w:rPr>
          <w:rFonts w:cs="Arial"/>
          <w:b/>
        </w:rPr>
      </w:pPr>
    </w:p>
    <w:p w:rsidR="00864EF6" w:rsidRDefault="00864EF6" w:rsidP="00074EF4">
      <w:pPr>
        <w:ind w:right="304"/>
        <w:jc w:val="both"/>
        <w:rPr>
          <w:rFonts w:cs="Arial"/>
          <w:b/>
        </w:rPr>
      </w:pPr>
    </w:p>
    <w:p w:rsidR="00864EF6" w:rsidRDefault="00864EF6" w:rsidP="00074EF4">
      <w:pPr>
        <w:ind w:right="304"/>
        <w:jc w:val="both"/>
        <w:rPr>
          <w:rFonts w:cs="Arial"/>
          <w:b/>
        </w:rPr>
      </w:pPr>
    </w:p>
    <w:p w:rsidR="00864EF6" w:rsidRDefault="00864EF6" w:rsidP="00074EF4">
      <w:pPr>
        <w:ind w:right="304"/>
        <w:jc w:val="both"/>
        <w:rPr>
          <w:rFonts w:cs="Arial"/>
          <w:b/>
        </w:rPr>
      </w:pPr>
    </w:p>
    <w:p w:rsidR="00864EF6" w:rsidRDefault="00864EF6" w:rsidP="00074EF4">
      <w:pPr>
        <w:ind w:right="304"/>
        <w:jc w:val="both"/>
        <w:rPr>
          <w:rFonts w:cs="Arial"/>
          <w:b/>
        </w:rPr>
      </w:pPr>
    </w:p>
    <w:p w:rsidR="00864EF6" w:rsidRDefault="00864EF6" w:rsidP="00074EF4">
      <w:pPr>
        <w:ind w:right="304"/>
        <w:jc w:val="both"/>
        <w:rPr>
          <w:rFonts w:cs="Arial"/>
          <w:b/>
        </w:rPr>
      </w:pPr>
    </w:p>
    <w:p w:rsidR="00864EF6" w:rsidRDefault="00864EF6" w:rsidP="00074EF4">
      <w:pPr>
        <w:ind w:right="304"/>
        <w:jc w:val="both"/>
        <w:rPr>
          <w:rFonts w:cs="Arial"/>
          <w:b/>
        </w:rPr>
      </w:pPr>
    </w:p>
    <w:p w:rsidR="00864EF6" w:rsidRDefault="00864EF6" w:rsidP="00074EF4">
      <w:pPr>
        <w:ind w:right="304"/>
        <w:jc w:val="both"/>
        <w:rPr>
          <w:rFonts w:cs="Arial"/>
          <w:b/>
        </w:rPr>
      </w:pPr>
    </w:p>
    <w:p w:rsidR="00864EF6" w:rsidRDefault="00864EF6" w:rsidP="00074EF4">
      <w:pPr>
        <w:ind w:right="304"/>
        <w:jc w:val="both"/>
        <w:rPr>
          <w:rFonts w:cs="Arial"/>
          <w:b/>
        </w:rPr>
      </w:pPr>
    </w:p>
    <w:p w:rsidR="00864EF6" w:rsidRDefault="00864EF6" w:rsidP="00074EF4">
      <w:pPr>
        <w:ind w:right="304"/>
        <w:jc w:val="both"/>
        <w:rPr>
          <w:rFonts w:cs="Arial"/>
          <w:b/>
        </w:rPr>
      </w:pPr>
    </w:p>
    <w:p w:rsidR="00864EF6" w:rsidRDefault="00864EF6" w:rsidP="00074EF4">
      <w:pPr>
        <w:ind w:right="304"/>
        <w:jc w:val="both"/>
        <w:rPr>
          <w:rFonts w:cs="Arial"/>
          <w:b/>
        </w:rPr>
      </w:pPr>
    </w:p>
    <w:p w:rsidR="00864EF6" w:rsidRDefault="00864EF6" w:rsidP="00074EF4">
      <w:pPr>
        <w:ind w:right="304"/>
        <w:jc w:val="both"/>
        <w:rPr>
          <w:rFonts w:cs="Arial"/>
          <w:b/>
        </w:rPr>
      </w:pPr>
    </w:p>
    <w:p w:rsidR="0026578D" w:rsidRPr="003824AA" w:rsidRDefault="0026578D" w:rsidP="00074EF4">
      <w:pPr>
        <w:ind w:right="304"/>
        <w:jc w:val="both"/>
        <w:rPr>
          <w:rFonts w:cs="Arial"/>
          <w:b/>
        </w:rPr>
      </w:pPr>
      <w:r w:rsidRPr="003824AA">
        <w:rPr>
          <w:rFonts w:cs="Arial"/>
          <w:b/>
        </w:rPr>
        <w:t xml:space="preserve">Table 2: </w:t>
      </w:r>
      <w:r w:rsidR="00CA49AC" w:rsidRPr="003824AA">
        <w:rPr>
          <w:rFonts w:cs="Arial"/>
          <w:b/>
        </w:rPr>
        <w:t>Main movement in Reserves</w:t>
      </w:r>
    </w:p>
    <w:p w:rsidR="00120AB1" w:rsidRPr="00074EF4" w:rsidRDefault="0026578D" w:rsidP="00074EF4">
      <w:pPr>
        <w:ind w:right="304"/>
        <w:jc w:val="both"/>
        <w:rPr>
          <w:rFonts w:cs="Arial"/>
        </w:rPr>
      </w:pPr>
      <w:r w:rsidRPr="0026578D">
        <w:rPr>
          <w:noProof/>
          <w:lang w:eastAsia="en-GB"/>
        </w:rPr>
        <w:drawing>
          <wp:inline distT="0" distB="0" distL="0" distR="0" wp14:anchorId="2A7101D5" wp14:editId="4C601B79">
            <wp:extent cx="6122035" cy="223848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035" cy="2238486"/>
                    </a:xfrm>
                    <a:prstGeom prst="rect">
                      <a:avLst/>
                    </a:prstGeom>
                    <a:noFill/>
                    <a:ln>
                      <a:noFill/>
                    </a:ln>
                  </pic:spPr>
                </pic:pic>
              </a:graphicData>
            </a:graphic>
          </wp:inline>
        </w:drawing>
      </w:r>
    </w:p>
    <w:p w:rsidR="00A731D4" w:rsidRDefault="00A731D4" w:rsidP="00C767C6">
      <w:pPr>
        <w:ind w:left="561" w:right="304" w:hanging="561"/>
        <w:jc w:val="both"/>
        <w:rPr>
          <w:rFonts w:cs="Arial"/>
        </w:rPr>
      </w:pPr>
    </w:p>
    <w:p w:rsidR="009867BB" w:rsidRDefault="009867BB" w:rsidP="00C767C6">
      <w:pPr>
        <w:ind w:left="561" w:right="304" w:hanging="561"/>
        <w:jc w:val="both"/>
        <w:rPr>
          <w:rFonts w:cs="Arial"/>
        </w:rPr>
      </w:pPr>
    </w:p>
    <w:p w:rsidR="009867BB" w:rsidRPr="00074EF4" w:rsidRDefault="009867BB" w:rsidP="003824AA">
      <w:pPr>
        <w:pStyle w:val="ListParagraph"/>
        <w:numPr>
          <w:ilvl w:val="0"/>
          <w:numId w:val="3"/>
        </w:numPr>
        <w:tabs>
          <w:tab w:val="clear" w:pos="1080"/>
          <w:tab w:val="left" w:pos="284"/>
          <w:tab w:val="num" w:pos="426"/>
        </w:tabs>
        <w:ind w:left="567" w:right="304" w:hanging="567"/>
        <w:jc w:val="both"/>
        <w:rPr>
          <w:rFonts w:cs="Arial"/>
        </w:rPr>
      </w:pPr>
      <w:r w:rsidRPr="000E3C24">
        <w:rPr>
          <w:rFonts w:cs="Arial"/>
          <w:b/>
        </w:rPr>
        <w:t>Revenue Grant Reserve</w:t>
      </w:r>
      <w:r w:rsidRPr="00074EF4">
        <w:rPr>
          <w:rFonts w:cs="Arial"/>
        </w:rPr>
        <w:t xml:space="preserve"> – </w:t>
      </w:r>
      <w:r w:rsidRPr="000E3C24">
        <w:rPr>
          <w:rFonts w:cs="Arial"/>
        </w:rPr>
        <w:t>T</w:t>
      </w:r>
      <w:r w:rsidRPr="00074EF4">
        <w:rPr>
          <w:rFonts w:cs="Arial"/>
        </w:rPr>
        <w:t>his reserve contains revenue grants to be used for specific purposes or which may be subject to claw back if conditions of the grant are not met.  The opening balance was £</w:t>
      </w:r>
      <w:r w:rsidR="00066138">
        <w:rPr>
          <w:rFonts w:cs="Arial"/>
        </w:rPr>
        <w:t>346</w:t>
      </w:r>
      <w:r w:rsidRPr="00074EF4">
        <w:rPr>
          <w:rFonts w:cs="Arial"/>
        </w:rPr>
        <w:t>k, with a £47k draw down in year and additions of £1.</w:t>
      </w:r>
      <w:r w:rsidR="004867E1">
        <w:rPr>
          <w:rFonts w:cs="Arial"/>
        </w:rPr>
        <w:t>005</w:t>
      </w:r>
      <w:r w:rsidRPr="00074EF4">
        <w:rPr>
          <w:rFonts w:cs="Arial"/>
        </w:rPr>
        <w:t>m in year to bring the total to be carried forward to £1.304m. The £1.304m closing balance relates to the following grants:</w:t>
      </w:r>
    </w:p>
    <w:p w:rsidR="009867BB" w:rsidRPr="00E26796" w:rsidRDefault="009867BB" w:rsidP="009867BB">
      <w:pPr>
        <w:pStyle w:val="ListParagraph"/>
        <w:rPr>
          <w:rFonts w:cs="Arial"/>
        </w:rPr>
      </w:pPr>
    </w:p>
    <w:p w:rsidR="009867BB" w:rsidRPr="00074EF4" w:rsidRDefault="009867BB" w:rsidP="009867BB">
      <w:pPr>
        <w:pStyle w:val="ListParagraph"/>
        <w:numPr>
          <w:ilvl w:val="0"/>
          <w:numId w:val="31"/>
        </w:numPr>
        <w:ind w:right="304"/>
        <w:jc w:val="both"/>
        <w:rPr>
          <w:rFonts w:cs="Arial"/>
        </w:rPr>
      </w:pPr>
      <w:r w:rsidRPr="00074EF4">
        <w:rPr>
          <w:rFonts w:cs="Arial"/>
        </w:rPr>
        <w:t xml:space="preserve">£51k – </w:t>
      </w:r>
      <w:r>
        <w:rPr>
          <w:rFonts w:cs="Arial"/>
        </w:rPr>
        <w:t>P</w:t>
      </w:r>
      <w:r w:rsidRPr="00074EF4">
        <w:rPr>
          <w:rFonts w:cs="Arial"/>
        </w:rPr>
        <w:t xml:space="preserve">reventing </w:t>
      </w:r>
      <w:r>
        <w:rPr>
          <w:rFonts w:cs="Arial"/>
        </w:rPr>
        <w:t>P</w:t>
      </w:r>
      <w:r w:rsidRPr="00074EF4">
        <w:rPr>
          <w:rFonts w:cs="Arial"/>
        </w:rPr>
        <w:t>ossession</w:t>
      </w:r>
    </w:p>
    <w:p w:rsidR="009867BB" w:rsidRPr="00074EF4" w:rsidRDefault="009867BB" w:rsidP="009867BB">
      <w:pPr>
        <w:pStyle w:val="ListParagraph"/>
        <w:numPr>
          <w:ilvl w:val="0"/>
          <w:numId w:val="31"/>
        </w:numPr>
        <w:ind w:right="304"/>
        <w:jc w:val="both"/>
        <w:rPr>
          <w:rFonts w:cs="Arial"/>
        </w:rPr>
      </w:pPr>
      <w:r w:rsidRPr="00074EF4">
        <w:rPr>
          <w:rFonts w:cs="Arial"/>
        </w:rPr>
        <w:t xml:space="preserve">£110k – </w:t>
      </w:r>
      <w:r>
        <w:rPr>
          <w:rFonts w:cs="Arial"/>
        </w:rPr>
        <w:t>A</w:t>
      </w:r>
      <w:r w:rsidRPr="00074EF4">
        <w:rPr>
          <w:rFonts w:cs="Arial"/>
        </w:rPr>
        <w:t xml:space="preserve">nti </w:t>
      </w:r>
      <w:r>
        <w:rPr>
          <w:rFonts w:cs="Arial"/>
        </w:rPr>
        <w:t>F</w:t>
      </w:r>
      <w:r w:rsidRPr="00074EF4">
        <w:rPr>
          <w:rFonts w:cs="Arial"/>
        </w:rPr>
        <w:t xml:space="preserve">raud </w:t>
      </w:r>
      <w:r>
        <w:rPr>
          <w:rFonts w:cs="Arial"/>
        </w:rPr>
        <w:t>G</w:t>
      </w:r>
      <w:r w:rsidRPr="00074EF4">
        <w:rPr>
          <w:rFonts w:cs="Arial"/>
        </w:rPr>
        <w:t>rant</w:t>
      </w:r>
    </w:p>
    <w:p w:rsidR="009867BB" w:rsidRPr="00074EF4" w:rsidRDefault="009867BB" w:rsidP="009867BB">
      <w:pPr>
        <w:pStyle w:val="ListParagraph"/>
        <w:numPr>
          <w:ilvl w:val="0"/>
          <w:numId w:val="31"/>
        </w:numPr>
        <w:ind w:right="304"/>
        <w:jc w:val="both"/>
        <w:rPr>
          <w:rFonts w:cs="Arial"/>
        </w:rPr>
      </w:pPr>
      <w:r w:rsidRPr="00074EF4">
        <w:rPr>
          <w:rFonts w:cs="Arial"/>
        </w:rPr>
        <w:t xml:space="preserve">£138k – </w:t>
      </w:r>
      <w:r>
        <w:rPr>
          <w:rFonts w:cs="Arial"/>
        </w:rPr>
        <w:t>P</w:t>
      </w:r>
      <w:r w:rsidRPr="00074EF4">
        <w:rPr>
          <w:rFonts w:cs="Arial"/>
        </w:rPr>
        <w:t xml:space="preserve">lanning </w:t>
      </w:r>
      <w:r>
        <w:rPr>
          <w:rFonts w:cs="Arial"/>
        </w:rPr>
        <w:t>D</w:t>
      </w:r>
      <w:r w:rsidRPr="00074EF4">
        <w:rPr>
          <w:rFonts w:cs="Arial"/>
        </w:rPr>
        <w:t xml:space="preserve">elivery </w:t>
      </w:r>
      <w:r>
        <w:rPr>
          <w:rFonts w:cs="Arial"/>
        </w:rPr>
        <w:t>G</w:t>
      </w:r>
      <w:r w:rsidRPr="00074EF4">
        <w:rPr>
          <w:rFonts w:cs="Arial"/>
        </w:rPr>
        <w:t>rant</w:t>
      </w:r>
    </w:p>
    <w:p w:rsidR="009867BB" w:rsidRPr="00074EF4" w:rsidRDefault="009867BB" w:rsidP="009867BB">
      <w:pPr>
        <w:pStyle w:val="ListParagraph"/>
        <w:numPr>
          <w:ilvl w:val="0"/>
          <w:numId w:val="31"/>
        </w:numPr>
        <w:ind w:right="304"/>
        <w:jc w:val="both"/>
        <w:rPr>
          <w:rFonts w:cs="Arial"/>
        </w:rPr>
      </w:pPr>
      <w:r w:rsidRPr="00074EF4">
        <w:rPr>
          <w:rFonts w:cs="Arial"/>
        </w:rPr>
        <w:t>£288k – Troubled family grant</w:t>
      </w:r>
    </w:p>
    <w:p w:rsidR="009867BB" w:rsidRDefault="009867BB" w:rsidP="009867BB">
      <w:pPr>
        <w:pStyle w:val="ListParagraph"/>
        <w:numPr>
          <w:ilvl w:val="0"/>
          <w:numId w:val="31"/>
        </w:numPr>
        <w:ind w:right="304"/>
        <w:jc w:val="both"/>
        <w:rPr>
          <w:rFonts w:cs="Arial"/>
        </w:rPr>
      </w:pPr>
      <w:r w:rsidRPr="00074EF4">
        <w:rPr>
          <w:rFonts w:cs="Arial"/>
        </w:rPr>
        <w:t>£717k – New Homes Bonus grant</w:t>
      </w:r>
    </w:p>
    <w:p w:rsidR="009867BB" w:rsidRDefault="009867BB" w:rsidP="00810F29">
      <w:pPr>
        <w:ind w:right="304"/>
        <w:jc w:val="both"/>
        <w:rPr>
          <w:rFonts w:cs="Arial"/>
        </w:rPr>
      </w:pPr>
    </w:p>
    <w:p w:rsidR="009867BB" w:rsidRPr="00810F29" w:rsidRDefault="009867BB" w:rsidP="003824AA">
      <w:pPr>
        <w:pStyle w:val="ListParagraph"/>
        <w:numPr>
          <w:ilvl w:val="0"/>
          <w:numId w:val="3"/>
        </w:numPr>
        <w:tabs>
          <w:tab w:val="clear" w:pos="1080"/>
          <w:tab w:val="num" w:pos="567"/>
        </w:tabs>
        <w:ind w:left="567" w:right="304" w:hanging="567"/>
        <w:jc w:val="both"/>
        <w:rPr>
          <w:rFonts w:cs="Arial"/>
          <w:b/>
        </w:rPr>
      </w:pPr>
      <w:r w:rsidRPr="000F0C4F">
        <w:rPr>
          <w:rFonts w:cs="Arial"/>
          <w:b/>
        </w:rPr>
        <w:t xml:space="preserve">Business Risk Reserve - </w:t>
      </w:r>
      <w:r w:rsidRPr="001053F7">
        <w:rPr>
          <w:rFonts w:cs="Arial"/>
        </w:rPr>
        <w:t xml:space="preserve">This reserve was established as part of the 2012/13 outturn to provide for a number of </w:t>
      </w:r>
      <w:r w:rsidR="004867E1">
        <w:rPr>
          <w:rFonts w:cs="Arial"/>
        </w:rPr>
        <w:t>unquantifiable</w:t>
      </w:r>
      <w:r w:rsidRPr="001053F7">
        <w:rPr>
          <w:rFonts w:cs="Arial"/>
        </w:rPr>
        <w:t xml:space="preserve"> business risks. £2.</w:t>
      </w:r>
      <w:r w:rsidRPr="00074EF4">
        <w:rPr>
          <w:rFonts w:cs="Arial"/>
        </w:rPr>
        <w:t>109</w:t>
      </w:r>
      <w:r w:rsidRPr="001053F7">
        <w:rPr>
          <w:rFonts w:cs="Arial"/>
        </w:rPr>
        <w:t>m was available at the start of 201</w:t>
      </w:r>
      <w:r w:rsidRPr="00074EF4">
        <w:rPr>
          <w:rFonts w:cs="Arial"/>
        </w:rPr>
        <w:t>5</w:t>
      </w:r>
      <w:r w:rsidRPr="001053F7">
        <w:rPr>
          <w:rFonts w:cs="Arial"/>
        </w:rPr>
        <w:t>/1</w:t>
      </w:r>
      <w:r w:rsidRPr="00074EF4">
        <w:rPr>
          <w:rFonts w:cs="Arial"/>
        </w:rPr>
        <w:t xml:space="preserve">6 with no </w:t>
      </w:r>
      <w:r w:rsidRPr="001053F7">
        <w:rPr>
          <w:rFonts w:cs="Arial"/>
        </w:rPr>
        <w:t>drawdown</w:t>
      </w:r>
      <w:r w:rsidRPr="00074EF4">
        <w:rPr>
          <w:rFonts w:cs="Arial"/>
        </w:rPr>
        <w:t>s in the year.</w:t>
      </w:r>
    </w:p>
    <w:p w:rsidR="009867BB" w:rsidRPr="00810F29" w:rsidRDefault="009867BB" w:rsidP="00810F29">
      <w:pPr>
        <w:pStyle w:val="ListParagraph"/>
        <w:ind w:left="502" w:right="304"/>
        <w:jc w:val="both"/>
        <w:rPr>
          <w:rFonts w:cs="Arial"/>
          <w:b/>
        </w:rPr>
      </w:pPr>
    </w:p>
    <w:p w:rsidR="009867BB" w:rsidRPr="009E7168" w:rsidRDefault="009867BB" w:rsidP="003824AA">
      <w:pPr>
        <w:pStyle w:val="ListParagraph"/>
        <w:numPr>
          <w:ilvl w:val="0"/>
          <w:numId w:val="3"/>
        </w:numPr>
        <w:tabs>
          <w:tab w:val="clear" w:pos="1080"/>
          <w:tab w:val="num" w:pos="567"/>
        </w:tabs>
        <w:ind w:left="567" w:right="304" w:hanging="567"/>
        <w:jc w:val="both"/>
        <w:rPr>
          <w:rFonts w:cs="Arial"/>
        </w:rPr>
      </w:pPr>
      <w:r w:rsidRPr="009E7168">
        <w:rPr>
          <w:rFonts w:cs="Arial"/>
          <w:b/>
        </w:rPr>
        <w:t>Medium Term Financial Strategy Implementation Reserve</w:t>
      </w:r>
      <w:r w:rsidRPr="009E7168">
        <w:rPr>
          <w:rFonts w:cs="Arial"/>
        </w:rPr>
        <w:t xml:space="preserve"> – This reserve was established to facilitate the achievement of MTFS savings. The balance at the start of the year was £</w:t>
      </w:r>
      <w:r w:rsidRPr="00074EF4">
        <w:rPr>
          <w:rFonts w:cs="Arial"/>
        </w:rPr>
        <w:t>2.804</w:t>
      </w:r>
      <w:r w:rsidRPr="009E7168">
        <w:rPr>
          <w:rFonts w:cs="Arial"/>
        </w:rPr>
        <w:t>m, to which £0.470m has been added in-year from early MTFS savings. £</w:t>
      </w:r>
      <w:r w:rsidRPr="00074EF4">
        <w:rPr>
          <w:rFonts w:cs="Arial"/>
        </w:rPr>
        <w:t>2.693m</w:t>
      </w:r>
      <w:r w:rsidRPr="009E7168">
        <w:rPr>
          <w:rFonts w:cs="Arial"/>
        </w:rPr>
        <w:t xml:space="preserve"> has been drawn down </w:t>
      </w:r>
      <w:r w:rsidRPr="00074EF4">
        <w:rPr>
          <w:rFonts w:cs="Arial"/>
        </w:rPr>
        <w:t>in the year, which would leave a balance of £0.581m, however it is recommended that the £</w:t>
      </w:r>
      <w:r>
        <w:rPr>
          <w:rFonts w:cs="Arial"/>
        </w:rPr>
        <w:t>3</w:t>
      </w:r>
      <w:r w:rsidRPr="00074EF4">
        <w:rPr>
          <w:rFonts w:cs="Arial"/>
        </w:rPr>
        <w:t>75k underspend from 2015/16 is added to the reserve</w:t>
      </w:r>
      <w:r>
        <w:rPr>
          <w:rFonts w:cs="Arial"/>
        </w:rPr>
        <w:t xml:space="preserve"> (£350k of this will be used to fund the Bridge day care centre for 2016/17)</w:t>
      </w:r>
      <w:r w:rsidRPr="00074EF4">
        <w:rPr>
          <w:rFonts w:cs="Arial"/>
        </w:rPr>
        <w:t>, which brings the closing balance to £</w:t>
      </w:r>
      <w:r>
        <w:rPr>
          <w:rFonts w:cs="Arial"/>
        </w:rPr>
        <w:t>0</w:t>
      </w:r>
      <w:r w:rsidRPr="00074EF4">
        <w:rPr>
          <w:rFonts w:cs="Arial"/>
        </w:rPr>
        <w:t>.</w:t>
      </w:r>
      <w:r>
        <w:rPr>
          <w:rFonts w:cs="Arial"/>
        </w:rPr>
        <w:t>9</w:t>
      </w:r>
      <w:r w:rsidRPr="00074EF4">
        <w:rPr>
          <w:rFonts w:cs="Arial"/>
        </w:rPr>
        <w:t>56m.</w:t>
      </w:r>
      <w:r w:rsidRPr="009E7168">
        <w:rPr>
          <w:rFonts w:cs="Arial"/>
        </w:rPr>
        <w:t xml:space="preserve">  Of the £2.693m of draw downs, the main items were as follows:</w:t>
      </w:r>
    </w:p>
    <w:p w:rsidR="009867BB" w:rsidRPr="00074EF4" w:rsidRDefault="009867BB" w:rsidP="009867BB">
      <w:pPr>
        <w:pStyle w:val="ListParagraph"/>
        <w:ind w:left="502" w:right="304"/>
        <w:jc w:val="both"/>
        <w:rPr>
          <w:rFonts w:cs="Arial"/>
          <w:color w:val="FF0000"/>
        </w:rPr>
      </w:pPr>
    </w:p>
    <w:p w:rsidR="009867BB" w:rsidRPr="003F30EF" w:rsidRDefault="009867BB" w:rsidP="009867BB">
      <w:pPr>
        <w:pStyle w:val="ListParagraph"/>
        <w:numPr>
          <w:ilvl w:val="0"/>
          <w:numId w:val="12"/>
        </w:numPr>
        <w:ind w:right="304"/>
        <w:jc w:val="both"/>
        <w:rPr>
          <w:rFonts w:cs="Arial"/>
        </w:rPr>
      </w:pPr>
      <w:r w:rsidRPr="003F30EF">
        <w:rPr>
          <w:rFonts w:cs="Arial"/>
        </w:rPr>
        <w:t>Severance costs £</w:t>
      </w:r>
      <w:r w:rsidRPr="00074EF4">
        <w:rPr>
          <w:rFonts w:cs="Arial"/>
        </w:rPr>
        <w:t>1.691</w:t>
      </w:r>
      <w:r w:rsidRPr="003F30EF">
        <w:rPr>
          <w:rFonts w:cs="Arial"/>
        </w:rPr>
        <w:t>m</w:t>
      </w:r>
    </w:p>
    <w:p w:rsidR="009867BB" w:rsidRPr="003F30EF" w:rsidRDefault="009867BB" w:rsidP="009867BB">
      <w:pPr>
        <w:pStyle w:val="ListParagraph"/>
        <w:numPr>
          <w:ilvl w:val="0"/>
          <w:numId w:val="12"/>
        </w:numPr>
        <w:ind w:right="304"/>
        <w:jc w:val="both"/>
        <w:rPr>
          <w:rFonts w:cs="Arial"/>
        </w:rPr>
      </w:pPr>
      <w:r w:rsidRPr="003F30EF">
        <w:rPr>
          <w:rFonts w:cs="Arial"/>
        </w:rPr>
        <w:t>Project Minerva  £1</w:t>
      </w:r>
      <w:r w:rsidRPr="00074EF4">
        <w:rPr>
          <w:rFonts w:cs="Arial"/>
        </w:rPr>
        <w:t>92k</w:t>
      </w:r>
    </w:p>
    <w:p w:rsidR="009867BB" w:rsidRPr="003F30EF" w:rsidRDefault="009867BB" w:rsidP="009867BB">
      <w:pPr>
        <w:pStyle w:val="ListParagraph"/>
        <w:numPr>
          <w:ilvl w:val="0"/>
          <w:numId w:val="12"/>
        </w:numPr>
        <w:ind w:right="304"/>
        <w:jc w:val="both"/>
        <w:rPr>
          <w:rFonts w:cs="Arial"/>
        </w:rPr>
      </w:pPr>
      <w:r w:rsidRPr="00074EF4">
        <w:rPr>
          <w:rFonts w:cs="Arial"/>
        </w:rPr>
        <w:t>Voluntary Sector £331k</w:t>
      </w:r>
    </w:p>
    <w:p w:rsidR="009867BB" w:rsidRDefault="009867BB" w:rsidP="009867BB">
      <w:pPr>
        <w:pStyle w:val="ListParagraph"/>
        <w:numPr>
          <w:ilvl w:val="0"/>
          <w:numId w:val="12"/>
        </w:numPr>
        <w:ind w:right="304"/>
        <w:jc w:val="both"/>
        <w:rPr>
          <w:rFonts w:cs="Arial"/>
        </w:rPr>
      </w:pPr>
      <w:r w:rsidRPr="00074EF4">
        <w:rPr>
          <w:rFonts w:cs="Arial"/>
        </w:rPr>
        <w:t>Garden Waste project £430k</w:t>
      </w:r>
    </w:p>
    <w:p w:rsidR="00643585" w:rsidRDefault="00643585" w:rsidP="003824AA">
      <w:pPr>
        <w:ind w:right="304"/>
        <w:jc w:val="both"/>
        <w:rPr>
          <w:rFonts w:cs="Arial"/>
        </w:rPr>
      </w:pPr>
    </w:p>
    <w:p w:rsidR="00643585" w:rsidRPr="00643585" w:rsidRDefault="00643585" w:rsidP="003824AA">
      <w:pPr>
        <w:ind w:left="360" w:right="304"/>
        <w:jc w:val="both"/>
        <w:rPr>
          <w:rFonts w:cs="Arial"/>
        </w:rPr>
      </w:pPr>
      <w:r>
        <w:rPr>
          <w:rFonts w:cs="Arial"/>
        </w:rPr>
        <w:lastRenderedPageBreak/>
        <w:t>In addition, as part of the budget setting for 2016/17, a</w:t>
      </w:r>
      <w:r w:rsidR="00D4392C">
        <w:rPr>
          <w:rFonts w:cs="Arial"/>
        </w:rPr>
        <w:t xml:space="preserve"> sum of £2.954m was </w:t>
      </w:r>
      <w:r>
        <w:rPr>
          <w:rFonts w:cs="Arial"/>
        </w:rPr>
        <w:t xml:space="preserve"> added to the MTFS implementation reserve.</w:t>
      </w:r>
      <w:r w:rsidR="00D4392C">
        <w:rPr>
          <w:rFonts w:cs="Arial"/>
        </w:rPr>
        <w:t xml:space="preserve">  In the main this will be required to fund future severance costs as a result of staff savings being made over the next 3 years. </w:t>
      </w:r>
      <w:r>
        <w:rPr>
          <w:rFonts w:cs="Arial"/>
        </w:rPr>
        <w:t xml:space="preserve">  </w:t>
      </w:r>
    </w:p>
    <w:p w:rsidR="00FA7006" w:rsidRDefault="00FA7006" w:rsidP="00C767C6">
      <w:pPr>
        <w:ind w:left="561" w:right="304" w:hanging="561"/>
        <w:jc w:val="both"/>
        <w:rPr>
          <w:rFonts w:cs="Arial"/>
          <w:b/>
        </w:rPr>
      </w:pPr>
    </w:p>
    <w:p w:rsidR="003D307F" w:rsidRDefault="00907244" w:rsidP="003824AA">
      <w:pPr>
        <w:pStyle w:val="ListParagraph"/>
        <w:numPr>
          <w:ilvl w:val="0"/>
          <w:numId w:val="3"/>
        </w:numPr>
        <w:tabs>
          <w:tab w:val="clear" w:pos="1080"/>
          <w:tab w:val="num" w:pos="567"/>
        </w:tabs>
        <w:ind w:left="567" w:right="304" w:hanging="567"/>
        <w:jc w:val="both"/>
        <w:rPr>
          <w:rFonts w:cs="Arial"/>
        </w:rPr>
      </w:pPr>
      <w:r w:rsidRPr="000F0C4F">
        <w:rPr>
          <w:rFonts w:cs="Arial"/>
          <w:b/>
        </w:rPr>
        <w:t>Transformation and Priority Initiatives Fund</w:t>
      </w:r>
      <w:r w:rsidRPr="000F0C4F">
        <w:rPr>
          <w:rFonts w:cs="Arial"/>
        </w:rPr>
        <w:t xml:space="preserve"> - The balance at 1 April 201</w:t>
      </w:r>
      <w:r w:rsidR="00C906C2">
        <w:rPr>
          <w:rFonts w:cs="Arial"/>
        </w:rPr>
        <w:t>5</w:t>
      </w:r>
      <w:r w:rsidRPr="000F0C4F">
        <w:rPr>
          <w:rFonts w:cs="Arial"/>
        </w:rPr>
        <w:t xml:space="preserve"> was </w:t>
      </w:r>
      <w:r w:rsidRPr="00C906C2">
        <w:rPr>
          <w:rFonts w:cs="Arial"/>
        </w:rPr>
        <w:t>£</w:t>
      </w:r>
      <w:r w:rsidR="00FB435B" w:rsidRPr="00C906C2">
        <w:rPr>
          <w:rFonts w:cs="Arial"/>
        </w:rPr>
        <w:t>3.</w:t>
      </w:r>
      <w:r w:rsidR="00C906C2" w:rsidRPr="00074EF4">
        <w:rPr>
          <w:rFonts w:cs="Arial"/>
        </w:rPr>
        <w:t>819</w:t>
      </w:r>
      <w:r w:rsidR="00FB435B" w:rsidRPr="00C906C2">
        <w:rPr>
          <w:rFonts w:cs="Arial"/>
        </w:rPr>
        <w:t>m</w:t>
      </w:r>
      <w:r w:rsidRPr="00C906C2">
        <w:rPr>
          <w:rFonts w:cs="Arial"/>
        </w:rPr>
        <w:t xml:space="preserve">.  </w:t>
      </w:r>
      <w:r w:rsidRPr="001053F7">
        <w:rPr>
          <w:rFonts w:cs="Arial"/>
        </w:rPr>
        <w:t xml:space="preserve">During the year </w:t>
      </w:r>
      <w:r w:rsidR="00FB435B" w:rsidRPr="001053F7">
        <w:rPr>
          <w:rFonts w:cs="Arial"/>
        </w:rPr>
        <w:t>£0.</w:t>
      </w:r>
      <w:r w:rsidR="00E903BB" w:rsidRPr="00074EF4">
        <w:rPr>
          <w:rFonts w:cs="Arial"/>
        </w:rPr>
        <w:t>630</w:t>
      </w:r>
      <w:r w:rsidR="00FB435B" w:rsidRPr="001053F7">
        <w:rPr>
          <w:rFonts w:cs="Arial"/>
        </w:rPr>
        <w:t xml:space="preserve">m was </w:t>
      </w:r>
      <w:r w:rsidR="00E903BB" w:rsidRPr="00074EF4">
        <w:rPr>
          <w:rFonts w:cs="Arial"/>
        </w:rPr>
        <w:t>drawn down from the reserve</w:t>
      </w:r>
      <w:r w:rsidR="001053F7">
        <w:rPr>
          <w:rFonts w:cs="Arial"/>
        </w:rPr>
        <w:t>, which leaves a balance of £3.189m</w:t>
      </w:r>
      <w:r w:rsidR="001053F7" w:rsidRPr="00074EF4">
        <w:rPr>
          <w:rFonts w:cs="Arial"/>
        </w:rPr>
        <w:t>.  There were a number of draw down</w:t>
      </w:r>
      <w:r w:rsidR="001053F7">
        <w:rPr>
          <w:rFonts w:cs="Arial"/>
        </w:rPr>
        <w:t>s totalling the £0.630m but the</w:t>
      </w:r>
      <w:r w:rsidR="001053F7" w:rsidRPr="00074EF4">
        <w:rPr>
          <w:rFonts w:cs="Arial"/>
        </w:rPr>
        <w:t xml:space="preserve"> main items that were funded are as follows:</w:t>
      </w:r>
    </w:p>
    <w:p w:rsidR="00907244" w:rsidRPr="001053F7" w:rsidRDefault="00907244" w:rsidP="00074EF4">
      <w:pPr>
        <w:pStyle w:val="ListParagraph"/>
        <w:ind w:left="502" w:right="304"/>
        <w:jc w:val="both"/>
        <w:rPr>
          <w:rFonts w:cs="Arial"/>
        </w:rPr>
      </w:pPr>
    </w:p>
    <w:p w:rsidR="00907244" w:rsidRPr="001053F7" w:rsidRDefault="001053F7" w:rsidP="0087231C">
      <w:pPr>
        <w:numPr>
          <w:ilvl w:val="0"/>
          <w:numId w:val="4"/>
        </w:numPr>
        <w:ind w:left="561" w:right="304" w:hanging="187"/>
        <w:jc w:val="both"/>
        <w:rPr>
          <w:rFonts w:cs="Arial"/>
        </w:rPr>
      </w:pPr>
      <w:r w:rsidRPr="00074EF4">
        <w:rPr>
          <w:rFonts w:cs="Arial"/>
        </w:rPr>
        <w:t xml:space="preserve">Grass verge maintenance </w:t>
      </w:r>
      <w:r w:rsidR="00FB435B" w:rsidRPr="001053F7">
        <w:rPr>
          <w:rFonts w:cs="Arial"/>
        </w:rPr>
        <w:t>£</w:t>
      </w:r>
      <w:r w:rsidRPr="00074EF4">
        <w:rPr>
          <w:rFonts w:cs="Arial"/>
        </w:rPr>
        <w:t>60</w:t>
      </w:r>
      <w:r w:rsidR="00FB435B" w:rsidRPr="001053F7">
        <w:rPr>
          <w:rFonts w:cs="Arial"/>
        </w:rPr>
        <w:t>k</w:t>
      </w:r>
    </w:p>
    <w:p w:rsidR="00907244" w:rsidRPr="001053F7" w:rsidRDefault="001053F7" w:rsidP="0087231C">
      <w:pPr>
        <w:numPr>
          <w:ilvl w:val="0"/>
          <w:numId w:val="4"/>
        </w:numPr>
        <w:ind w:left="561" w:right="304" w:hanging="187"/>
        <w:jc w:val="both"/>
        <w:rPr>
          <w:rFonts w:cs="Arial"/>
        </w:rPr>
      </w:pPr>
      <w:r w:rsidRPr="00074EF4">
        <w:rPr>
          <w:rFonts w:cs="Arial"/>
        </w:rPr>
        <w:t xml:space="preserve">Arts </w:t>
      </w:r>
      <w:r w:rsidR="00952CE5">
        <w:rPr>
          <w:rFonts w:cs="Arial"/>
        </w:rPr>
        <w:t>C</w:t>
      </w:r>
      <w:r w:rsidRPr="00074EF4">
        <w:rPr>
          <w:rFonts w:cs="Arial"/>
        </w:rPr>
        <w:t>entre</w:t>
      </w:r>
      <w:r w:rsidR="00FB435B" w:rsidRPr="001053F7">
        <w:rPr>
          <w:rFonts w:cs="Arial"/>
        </w:rPr>
        <w:t xml:space="preserve"> £</w:t>
      </w:r>
      <w:r w:rsidRPr="00074EF4">
        <w:rPr>
          <w:rFonts w:cs="Arial"/>
        </w:rPr>
        <w:t>165</w:t>
      </w:r>
      <w:r w:rsidR="00FB435B" w:rsidRPr="001053F7">
        <w:rPr>
          <w:rFonts w:cs="Arial"/>
        </w:rPr>
        <w:t>k</w:t>
      </w:r>
    </w:p>
    <w:p w:rsidR="00907244" w:rsidRPr="001053F7" w:rsidRDefault="001053F7" w:rsidP="0087231C">
      <w:pPr>
        <w:numPr>
          <w:ilvl w:val="0"/>
          <w:numId w:val="4"/>
        </w:numPr>
        <w:ind w:left="561" w:right="304" w:hanging="187"/>
        <w:jc w:val="both"/>
        <w:rPr>
          <w:rFonts w:cs="Arial"/>
        </w:rPr>
      </w:pPr>
      <w:r w:rsidRPr="00074EF4">
        <w:rPr>
          <w:rFonts w:cs="Arial"/>
        </w:rPr>
        <w:t>Improving the street scene</w:t>
      </w:r>
      <w:r w:rsidR="00FB435B" w:rsidRPr="001053F7">
        <w:rPr>
          <w:rFonts w:cs="Arial"/>
        </w:rPr>
        <w:t xml:space="preserve"> £</w:t>
      </w:r>
      <w:r w:rsidRPr="00074EF4">
        <w:rPr>
          <w:rFonts w:cs="Arial"/>
        </w:rPr>
        <w:t>80</w:t>
      </w:r>
      <w:r w:rsidR="00FB435B" w:rsidRPr="001053F7">
        <w:rPr>
          <w:rFonts w:cs="Arial"/>
        </w:rPr>
        <w:t>k</w:t>
      </w:r>
    </w:p>
    <w:p w:rsidR="00907244" w:rsidRDefault="001053F7" w:rsidP="0087231C">
      <w:pPr>
        <w:numPr>
          <w:ilvl w:val="0"/>
          <w:numId w:val="4"/>
        </w:numPr>
        <w:ind w:left="561" w:right="304" w:hanging="187"/>
        <w:jc w:val="both"/>
        <w:rPr>
          <w:rFonts w:cs="Arial"/>
        </w:rPr>
      </w:pPr>
      <w:r w:rsidRPr="00074EF4">
        <w:rPr>
          <w:rFonts w:cs="Arial"/>
        </w:rPr>
        <w:t xml:space="preserve">Project Infinity </w:t>
      </w:r>
      <w:r w:rsidR="00FB435B" w:rsidRPr="001053F7">
        <w:rPr>
          <w:rFonts w:cs="Arial"/>
        </w:rPr>
        <w:t>£</w:t>
      </w:r>
      <w:r w:rsidRPr="00074EF4">
        <w:rPr>
          <w:rFonts w:cs="Arial"/>
        </w:rPr>
        <w:t>87</w:t>
      </w:r>
      <w:r w:rsidR="00FB435B" w:rsidRPr="001053F7">
        <w:rPr>
          <w:rFonts w:cs="Arial"/>
        </w:rPr>
        <w:t>k</w:t>
      </w:r>
    </w:p>
    <w:p w:rsidR="009867BB" w:rsidRPr="001053F7" w:rsidRDefault="009867BB" w:rsidP="00810F29">
      <w:pPr>
        <w:ind w:left="374" w:right="304"/>
        <w:jc w:val="both"/>
        <w:rPr>
          <w:rFonts w:cs="Arial"/>
        </w:rPr>
      </w:pPr>
    </w:p>
    <w:p w:rsidR="009867BB" w:rsidRDefault="009867BB" w:rsidP="003824AA">
      <w:pPr>
        <w:pStyle w:val="ListParagraph"/>
        <w:numPr>
          <w:ilvl w:val="0"/>
          <w:numId w:val="3"/>
        </w:numPr>
        <w:tabs>
          <w:tab w:val="clear" w:pos="1080"/>
          <w:tab w:val="num" w:pos="426"/>
        </w:tabs>
        <w:spacing w:after="240"/>
        <w:ind w:left="426" w:right="304" w:hanging="426"/>
        <w:jc w:val="both"/>
        <w:rPr>
          <w:rFonts w:cs="Arial"/>
        </w:rPr>
      </w:pPr>
      <w:r w:rsidRPr="00074EF4">
        <w:rPr>
          <w:rFonts w:cs="Arial"/>
          <w:b/>
        </w:rPr>
        <w:t>Insurance reserve</w:t>
      </w:r>
      <w:r>
        <w:rPr>
          <w:rFonts w:cs="Arial"/>
        </w:rPr>
        <w:t xml:space="preserve"> – the insurance reserve stood at £500k at the start of the year,</w:t>
      </w:r>
      <w:r w:rsidR="00C44AF1">
        <w:rPr>
          <w:rFonts w:cs="Arial"/>
        </w:rPr>
        <w:t xml:space="preserve"> </w:t>
      </w:r>
      <w:r>
        <w:rPr>
          <w:rFonts w:cs="Arial"/>
        </w:rPr>
        <w:t>however it was necessary to draw down the reserve as the provision required to be made was £564</w:t>
      </w:r>
      <w:r w:rsidR="0020633A">
        <w:rPr>
          <w:rFonts w:cs="Arial"/>
        </w:rPr>
        <w:t>k</w:t>
      </w:r>
      <w:r>
        <w:rPr>
          <w:rFonts w:cs="Arial"/>
        </w:rPr>
        <w:t xml:space="preserve"> in excess of the budget provision.  It is therefore recommended that the insurance reserve be reinstated and that £500k of the underspend is used to reinstate the reserve.</w:t>
      </w:r>
    </w:p>
    <w:p w:rsidR="009867BB" w:rsidRPr="00EF2A81" w:rsidRDefault="009867BB" w:rsidP="009867BB">
      <w:pPr>
        <w:pStyle w:val="ListParagraph"/>
        <w:rPr>
          <w:rFonts w:cs="Arial"/>
        </w:rPr>
      </w:pPr>
    </w:p>
    <w:p w:rsidR="009867BB" w:rsidRDefault="009867BB" w:rsidP="003824AA">
      <w:pPr>
        <w:pStyle w:val="ListParagraph"/>
        <w:numPr>
          <w:ilvl w:val="0"/>
          <w:numId w:val="3"/>
        </w:numPr>
        <w:tabs>
          <w:tab w:val="clear" w:pos="1080"/>
          <w:tab w:val="num" w:pos="426"/>
        </w:tabs>
        <w:spacing w:after="240"/>
        <w:ind w:right="304" w:hanging="1080"/>
        <w:jc w:val="both"/>
        <w:rPr>
          <w:rFonts w:cs="Arial"/>
        </w:rPr>
      </w:pPr>
      <w:r>
        <w:rPr>
          <w:rFonts w:cs="Arial"/>
        </w:rPr>
        <w:t>Is it recommended to add back £</w:t>
      </w:r>
      <w:r w:rsidR="0020633A">
        <w:rPr>
          <w:rFonts w:cs="Arial"/>
        </w:rPr>
        <w:t>500k</w:t>
      </w:r>
      <w:r>
        <w:rPr>
          <w:rFonts w:cs="Arial"/>
        </w:rPr>
        <w:t xml:space="preserve"> back into the Insurance </w:t>
      </w:r>
      <w:r w:rsidR="0020633A">
        <w:rPr>
          <w:rFonts w:cs="Arial"/>
        </w:rPr>
        <w:t>R</w:t>
      </w:r>
      <w:r>
        <w:rPr>
          <w:rFonts w:cs="Arial"/>
        </w:rPr>
        <w:t>eserve.</w:t>
      </w:r>
    </w:p>
    <w:p w:rsidR="00A347A3" w:rsidRPr="009E7168" w:rsidRDefault="00A347A3" w:rsidP="003824AA">
      <w:pPr>
        <w:pStyle w:val="ListParagraph"/>
        <w:spacing w:after="240"/>
        <w:ind w:left="502" w:right="304"/>
        <w:jc w:val="both"/>
        <w:rPr>
          <w:rFonts w:cs="Arial"/>
        </w:rPr>
      </w:pPr>
    </w:p>
    <w:p w:rsidR="000A3C7F" w:rsidRPr="00074EF4" w:rsidRDefault="000E7769" w:rsidP="003824AA">
      <w:pPr>
        <w:pStyle w:val="ListParagraph"/>
        <w:numPr>
          <w:ilvl w:val="0"/>
          <w:numId w:val="3"/>
        </w:numPr>
        <w:tabs>
          <w:tab w:val="clear" w:pos="1080"/>
        </w:tabs>
        <w:spacing w:after="240"/>
        <w:ind w:left="426" w:right="304" w:hanging="426"/>
        <w:jc w:val="both"/>
        <w:rPr>
          <w:rFonts w:cs="Arial"/>
        </w:rPr>
      </w:pPr>
      <w:r w:rsidRPr="00074EF4">
        <w:rPr>
          <w:rFonts w:cs="Arial"/>
          <w:b/>
        </w:rPr>
        <w:t>IT Implementation Reserve</w:t>
      </w:r>
      <w:r w:rsidRPr="00074EF4">
        <w:rPr>
          <w:rFonts w:cs="Arial"/>
        </w:rPr>
        <w:t xml:space="preserve"> - this reserve was established as a result of Cabinet agreeing to fund £2.854m of transformation and transition costs arising from</w:t>
      </w:r>
      <w:r w:rsidR="00A273EA" w:rsidRPr="000A3C7F">
        <w:rPr>
          <w:rFonts w:cs="Arial"/>
        </w:rPr>
        <w:t xml:space="preserve"> the ICT Procurement award of contract in March</w:t>
      </w:r>
      <w:r w:rsidRPr="00074EF4">
        <w:rPr>
          <w:rFonts w:cs="Arial"/>
        </w:rPr>
        <w:t xml:space="preserve"> 2015.  During 2015/16, a draw down was forecast within the Resources budget of £1.4m to fund ICT transformation costs, however due to underspends elsewhere in the Resources budget, it was not necessary to draw anything down.  However, it is recommended that £1m of the £1.4m is transferred to the Welfare Reform Reserve</w:t>
      </w:r>
      <w:r w:rsidR="000A3C7F" w:rsidRPr="00074EF4">
        <w:rPr>
          <w:rFonts w:cs="Arial"/>
        </w:rPr>
        <w:t xml:space="preserve">  for homelessness pressures in 2016/17.</w:t>
      </w:r>
    </w:p>
    <w:p w:rsidR="000A3C7F" w:rsidRPr="00074EF4" w:rsidRDefault="000A3C7F" w:rsidP="00074EF4">
      <w:pPr>
        <w:pStyle w:val="ListParagraph"/>
        <w:spacing w:after="240"/>
        <w:ind w:left="502" w:right="304"/>
        <w:jc w:val="both"/>
        <w:rPr>
          <w:rFonts w:cs="Arial"/>
        </w:rPr>
      </w:pPr>
    </w:p>
    <w:p w:rsidR="00224420" w:rsidRDefault="000A3C7F" w:rsidP="003824AA">
      <w:pPr>
        <w:pStyle w:val="ListParagraph"/>
        <w:numPr>
          <w:ilvl w:val="0"/>
          <w:numId w:val="3"/>
        </w:numPr>
        <w:tabs>
          <w:tab w:val="clear" w:pos="1080"/>
          <w:tab w:val="num" w:pos="426"/>
        </w:tabs>
        <w:spacing w:after="240"/>
        <w:ind w:left="567" w:right="304" w:hanging="567"/>
        <w:jc w:val="both"/>
        <w:rPr>
          <w:rFonts w:cs="Arial"/>
        </w:rPr>
      </w:pPr>
      <w:r w:rsidRPr="00FA7006">
        <w:rPr>
          <w:rFonts w:cs="Arial"/>
          <w:b/>
        </w:rPr>
        <w:t>Welfare Reform Reserve</w:t>
      </w:r>
      <w:r w:rsidRPr="00FA7006">
        <w:rPr>
          <w:rFonts w:cs="Arial"/>
        </w:rPr>
        <w:t xml:space="preserve"> - this reserve was established during 2015/16 with the addition of £1m which has been added in-year from early MTFS savings.  £1m has been drawn down in year to cover the homelessness costs in the Housing General Fund as previously reported in Budget monitoring reports to Cabinet.  </w:t>
      </w:r>
      <w:r w:rsidR="00173E03" w:rsidRPr="00FA7006">
        <w:rPr>
          <w:rFonts w:cs="Arial"/>
        </w:rPr>
        <w:t xml:space="preserve">This </w:t>
      </w:r>
      <w:r w:rsidRPr="006E037A">
        <w:rPr>
          <w:rFonts w:cs="Arial"/>
        </w:rPr>
        <w:t xml:space="preserve">pressure </w:t>
      </w:r>
      <w:r w:rsidR="00173E03" w:rsidRPr="00B458AC">
        <w:rPr>
          <w:rFonts w:cs="Arial"/>
        </w:rPr>
        <w:t xml:space="preserve">will continue </w:t>
      </w:r>
      <w:r w:rsidR="00173E03" w:rsidRPr="00224420">
        <w:rPr>
          <w:rFonts w:cs="Arial"/>
        </w:rPr>
        <w:t>i</w:t>
      </w:r>
      <w:r w:rsidR="00E22B82" w:rsidRPr="00224420">
        <w:rPr>
          <w:rFonts w:cs="Arial"/>
        </w:rPr>
        <w:t>n 2016/17.</w:t>
      </w:r>
      <w:r w:rsidR="00224420" w:rsidRPr="00224420">
        <w:rPr>
          <w:rFonts w:cs="Arial"/>
        </w:rPr>
        <w:t xml:space="preserve"> </w:t>
      </w:r>
    </w:p>
    <w:p w:rsidR="00A347A3" w:rsidRDefault="00E22B82" w:rsidP="003824AA">
      <w:pPr>
        <w:ind w:left="502" w:right="304"/>
        <w:jc w:val="both"/>
        <w:rPr>
          <w:rFonts w:cs="Arial"/>
        </w:rPr>
      </w:pPr>
      <w:r w:rsidRPr="00C55A02">
        <w:rPr>
          <w:rFonts w:cs="Arial"/>
        </w:rPr>
        <w:t>I</w:t>
      </w:r>
      <w:r w:rsidR="000A3C7F" w:rsidRPr="00792EC2">
        <w:rPr>
          <w:rFonts w:cs="Arial"/>
        </w:rPr>
        <w:t>t is recommended to add £1m back into the reserve and the funding will come from the IT implementation re</w:t>
      </w:r>
      <w:r w:rsidRPr="00C55A02">
        <w:rPr>
          <w:rFonts w:cs="Arial"/>
        </w:rPr>
        <w:t>serve as set out in paragraph</w:t>
      </w:r>
      <w:r w:rsidR="00851E4C">
        <w:rPr>
          <w:rFonts w:cs="Arial"/>
        </w:rPr>
        <w:t xml:space="preserve"> 2</w:t>
      </w:r>
      <w:r w:rsidR="004E62B0">
        <w:rPr>
          <w:rFonts w:cs="Arial"/>
        </w:rPr>
        <w:t>5</w:t>
      </w:r>
      <w:r w:rsidR="00851E4C">
        <w:rPr>
          <w:rFonts w:cs="Arial"/>
        </w:rPr>
        <w:t>.</w:t>
      </w:r>
    </w:p>
    <w:p w:rsidR="00A347A3" w:rsidRDefault="00E22B82" w:rsidP="00C767C6">
      <w:pPr>
        <w:ind w:right="304"/>
        <w:jc w:val="both"/>
        <w:rPr>
          <w:rFonts w:cs="Arial"/>
        </w:rPr>
      </w:pPr>
      <w:r w:rsidRPr="00C55A02">
        <w:rPr>
          <w:rFonts w:cs="Arial"/>
        </w:rPr>
        <w:t xml:space="preserve"> </w:t>
      </w:r>
    </w:p>
    <w:p w:rsidR="00BB1ECE" w:rsidRPr="00AC736E" w:rsidRDefault="00D4511C" w:rsidP="003824AA">
      <w:pPr>
        <w:ind w:right="304" w:firstLine="502"/>
        <w:jc w:val="both"/>
        <w:rPr>
          <w:rFonts w:cs="Arial"/>
          <w:b/>
        </w:rPr>
      </w:pPr>
      <w:r>
        <w:rPr>
          <w:rFonts w:cs="Arial"/>
          <w:b/>
        </w:rPr>
        <w:t>R</w:t>
      </w:r>
      <w:r w:rsidR="00BB1ECE">
        <w:rPr>
          <w:rFonts w:cs="Arial"/>
          <w:b/>
        </w:rPr>
        <w:t>EVENUE CARRY FORWARDS</w:t>
      </w:r>
      <w:r>
        <w:rPr>
          <w:rFonts w:cs="Arial"/>
          <w:b/>
        </w:rPr>
        <w:t xml:space="preserve"> </w:t>
      </w:r>
    </w:p>
    <w:p w:rsidR="00120AB1" w:rsidRDefault="001D2058" w:rsidP="003824AA">
      <w:pPr>
        <w:numPr>
          <w:ilvl w:val="0"/>
          <w:numId w:val="3"/>
        </w:numPr>
        <w:tabs>
          <w:tab w:val="clear" w:pos="1080"/>
          <w:tab w:val="num" w:pos="567"/>
        </w:tabs>
        <w:ind w:left="567" w:right="304" w:hanging="567"/>
        <w:jc w:val="both"/>
        <w:rPr>
          <w:rFonts w:cs="Arial"/>
        </w:rPr>
      </w:pPr>
      <w:r>
        <w:rPr>
          <w:rFonts w:cs="Arial"/>
        </w:rPr>
        <w:t xml:space="preserve">Carry </w:t>
      </w:r>
      <w:r w:rsidR="00D4511C">
        <w:rPr>
          <w:rFonts w:cs="Arial"/>
        </w:rPr>
        <w:t>forward requests</w:t>
      </w:r>
      <w:r>
        <w:rPr>
          <w:rFonts w:cs="Arial"/>
        </w:rPr>
        <w:t xml:space="preserve"> were received, mainly in relation to projects not completed and government grants not yet spent. </w:t>
      </w:r>
      <w:r w:rsidR="00D4511C">
        <w:rPr>
          <w:rFonts w:cs="Arial"/>
        </w:rPr>
        <w:t xml:space="preserve"> </w:t>
      </w:r>
      <w:r w:rsidR="004016BD">
        <w:rPr>
          <w:rFonts w:cs="Arial"/>
        </w:rPr>
        <w:t>The carry forward request</w:t>
      </w:r>
      <w:r w:rsidR="00D4511C">
        <w:rPr>
          <w:rFonts w:cs="Arial"/>
        </w:rPr>
        <w:t>s</w:t>
      </w:r>
      <w:r w:rsidR="004016BD">
        <w:rPr>
          <w:rFonts w:cs="Arial"/>
        </w:rPr>
        <w:t xml:space="preserve"> </w:t>
      </w:r>
      <w:r w:rsidR="00D4511C">
        <w:rPr>
          <w:rFonts w:cs="Arial"/>
        </w:rPr>
        <w:t>are</w:t>
      </w:r>
      <w:r w:rsidR="004016BD">
        <w:rPr>
          <w:rFonts w:cs="Arial"/>
        </w:rPr>
        <w:t xml:space="preserve"> summarised below</w:t>
      </w:r>
      <w:r>
        <w:rPr>
          <w:rFonts w:cs="Arial"/>
        </w:rPr>
        <w:t xml:space="preserve"> and listed in appendix </w:t>
      </w:r>
      <w:r w:rsidR="009017CB">
        <w:rPr>
          <w:rFonts w:cs="Arial"/>
        </w:rPr>
        <w:t>1</w:t>
      </w:r>
      <w:r w:rsidR="004016BD">
        <w:rPr>
          <w:rFonts w:cs="Arial"/>
        </w:rPr>
        <w:t>:-</w:t>
      </w:r>
    </w:p>
    <w:p w:rsidR="00B62216" w:rsidRDefault="00B62216" w:rsidP="00C53FBB">
      <w:pPr>
        <w:ind w:right="304"/>
        <w:jc w:val="both"/>
        <w:rPr>
          <w:rFonts w:cs="Arial"/>
        </w:rPr>
      </w:pPr>
    </w:p>
    <w:p w:rsidR="000445C5" w:rsidRPr="00074EF4" w:rsidRDefault="000445C5" w:rsidP="00503B8E">
      <w:pPr>
        <w:ind w:right="304"/>
        <w:jc w:val="both"/>
        <w:rPr>
          <w:rFonts w:cs="Arial"/>
          <w:b/>
        </w:rPr>
      </w:pPr>
      <w:r w:rsidRPr="00074EF4">
        <w:rPr>
          <w:rFonts w:cs="Arial"/>
          <w:b/>
        </w:rPr>
        <w:t>Table 3 Summary of Revenue Carry Forwards</w:t>
      </w:r>
    </w:p>
    <w:tbl>
      <w:tblPr>
        <w:tblW w:w="6000" w:type="dxa"/>
        <w:tblInd w:w="93" w:type="dxa"/>
        <w:tblLook w:val="04A0" w:firstRow="1" w:lastRow="0" w:firstColumn="1" w:lastColumn="0" w:noHBand="0" w:noVBand="1"/>
      </w:tblPr>
      <w:tblGrid>
        <w:gridCol w:w="2760"/>
        <w:gridCol w:w="1080"/>
        <w:gridCol w:w="1080"/>
        <w:gridCol w:w="1080"/>
      </w:tblGrid>
      <w:tr w:rsidR="005527E5" w:rsidRPr="005527E5" w:rsidTr="005527E5">
        <w:trPr>
          <w:trHeight w:val="525"/>
        </w:trPr>
        <w:tc>
          <w:tcPr>
            <w:tcW w:w="2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27E5" w:rsidRPr="005527E5" w:rsidRDefault="005527E5" w:rsidP="005527E5">
            <w:pPr>
              <w:rPr>
                <w:rFonts w:cs="Arial"/>
                <w:color w:val="000000"/>
                <w:sz w:val="20"/>
                <w:lang w:eastAsia="en-GB"/>
              </w:rPr>
            </w:pPr>
            <w:r w:rsidRPr="005527E5">
              <w:rPr>
                <w:rFonts w:cs="Arial"/>
                <w:color w:val="000000"/>
                <w:sz w:val="20"/>
                <w:lang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5527E5" w:rsidRPr="005527E5" w:rsidRDefault="005527E5" w:rsidP="005527E5">
            <w:pPr>
              <w:jc w:val="center"/>
              <w:rPr>
                <w:rFonts w:cs="Arial"/>
                <w:b/>
                <w:bCs/>
                <w:color w:val="000000"/>
                <w:sz w:val="20"/>
                <w:lang w:eastAsia="en-GB"/>
              </w:rPr>
            </w:pPr>
            <w:r w:rsidRPr="005527E5">
              <w:rPr>
                <w:rFonts w:cs="Arial"/>
                <w:b/>
                <w:bCs/>
                <w:color w:val="000000"/>
                <w:sz w:val="20"/>
                <w:lang w:eastAsia="en-GB"/>
              </w:rPr>
              <w:t>Council Funding</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5527E5" w:rsidRPr="005527E5" w:rsidRDefault="005527E5" w:rsidP="005527E5">
            <w:pPr>
              <w:jc w:val="center"/>
              <w:rPr>
                <w:rFonts w:cs="Arial"/>
                <w:b/>
                <w:bCs/>
                <w:color w:val="000000"/>
                <w:sz w:val="20"/>
                <w:lang w:eastAsia="en-GB"/>
              </w:rPr>
            </w:pPr>
            <w:r w:rsidRPr="005527E5">
              <w:rPr>
                <w:rFonts w:cs="Arial"/>
                <w:b/>
                <w:bCs/>
                <w:color w:val="000000"/>
                <w:sz w:val="20"/>
                <w:lang w:eastAsia="en-GB"/>
              </w:rPr>
              <w:t>Grant Funding</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5527E5" w:rsidRPr="005527E5" w:rsidRDefault="005527E5" w:rsidP="005527E5">
            <w:pPr>
              <w:jc w:val="center"/>
              <w:rPr>
                <w:rFonts w:cs="Arial"/>
                <w:b/>
                <w:bCs/>
                <w:color w:val="000000"/>
                <w:sz w:val="20"/>
                <w:lang w:eastAsia="en-GB"/>
              </w:rPr>
            </w:pPr>
            <w:r w:rsidRPr="005527E5">
              <w:rPr>
                <w:rFonts w:cs="Arial"/>
                <w:b/>
                <w:bCs/>
                <w:color w:val="000000"/>
                <w:sz w:val="20"/>
                <w:lang w:eastAsia="en-GB"/>
              </w:rPr>
              <w:t>Total</w:t>
            </w:r>
          </w:p>
        </w:tc>
      </w:tr>
      <w:tr w:rsidR="005527E5" w:rsidRPr="005527E5" w:rsidTr="005527E5">
        <w:trPr>
          <w:trHeight w:val="300"/>
        </w:trPr>
        <w:tc>
          <w:tcPr>
            <w:tcW w:w="2760" w:type="dxa"/>
            <w:tcBorders>
              <w:top w:val="nil"/>
              <w:left w:val="single" w:sz="8" w:space="0" w:color="auto"/>
              <w:bottom w:val="single" w:sz="8" w:space="0" w:color="auto"/>
              <w:right w:val="single" w:sz="8" w:space="0" w:color="auto"/>
            </w:tcBorders>
            <w:shd w:val="clear" w:color="auto" w:fill="auto"/>
            <w:noWrap/>
            <w:vAlign w:val="center"/>
            <w:hideMark/>
          </w:tcPr>
          <w:p w:rsidR="005527E5" w:rsidRPr="005527E5" w:rsidRDefault="005527E5" w:rsidP="005527E5">
            <w:pPr>
              <w:rPr>
                <w:rFonts w:cs="Arial"/>
                <w:color w:val="000000"/>
                <w:sz w:val="20"/>
                <w:lang w:eastAsia="en-GB"/>
              </w:rPr>
            </w:pPr>
            <w:r w:rsidRPr="005527E5">
              <w:rPr>
                <w:rFonts w:cs="Arial"/>
                <w:color w:val="000000"/>
                <w:sz w:val="20"/>
                <w:lang w:eastAsia="en-GB"/>
              </w:rPr>
              <w:t> </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5527E5" w:rsidP="005527E5">
            <w:pPr>
              <w:jc w:val="center"/>
              <w:rPr>
                <w:rFonts w:cs="Arial"/>
                <w:color w:val="000000"/>
                <w:sz w:val="20"/>
                <w:lang w:eastAsia="en-GB"/>
              </w:rPr>
            </w:pPr>
            <w:r w:rsidRPr="005527E5">
              <w:rPr>
                <w:rFonts w:cs="Arial"/>
                <w:color w:val="000000"/>
                <w:sz w:val="20"/>
                <w:lang w:eastAsia="en-GB"/>
              </w:rPr>
              <w:t>£000</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5527E5" w:rsidP="005527E5">
            <w:pPr>
              <w:jc w:val="center"/>
              <w:rPr>
                <w:rFonts w:cs="Arial"/>
                <w:color w:val="000000"/>
                <w:sz w:val="20"/>
                <w:lang w:eastAsia="en-GB"/>
              </w:rPr>
            </w:pPr>
            <w:r w:rsidRPr="005527E5">
              <w:rPr>
                <w:rFonts w:cs="Arial"/>
                <w:color w:val="000000"/>
                <w:sz w:val="20"/>
                <w:lang w:eastAsia="en-GB"/>
              </w:rPr>
              <w:t>£000</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5527E5" w:rsidP="005527E5">
            <w:pPr>
              <w:jc w:val="center"/>
              <w:rPr>
                <w:rFonts w:cs="Arial"/>
                <w:color w:val="000000"/>
                <w:sz w:val="20"/>
                <w:lang w:eastAsia="en-GB"/>
              </w:rPr>
            </w:pPr>
            <w:r w:rsidRPr="005527E5">
              <w:rPr>
                <w:rFonts w:cs="Arial"/>
                <w:color w:val="000000"/>
                <w:sz w:val="20"/>
                <w:lang w:eastAsia="en-GB"/>
              </w:rPr>
              <w:t>£000</w:t>
            </w:r>
          </w:p>
        </w:tc>
      </w:tr>
      <w:tr w:rsidR="005527E5" w:rsidRPr="005527E5" w:rsidTr="005527E5">
        <w:trPr>
          <w:trHeight w:val="300"/>
        </w:trPr>
        <w:tc>
          <w:tcPr>
            <w:tcW w:w="2760" w:type="dxa"/>
            <w:tcBorders>
              <w:top w:val="nil"/>
              <w:left w:val="single" w:sz="8" w:space="0" w:color="auto"/>
              <w:bottom w:val="single" w:sz="8" w:space="0" w:color="auto"/>
              <w:right w:val="single" w:sz="8" w:space="0" w:color="auto"/>
            </w:tcBorders>
            <w:shd w:val="clear" w:color="000000" w:fill="FFFFFF"/>
            <w:vAlign w:val="center"/>
            <w:hideMark/>
          </w:tcPr>
          <w:p w:rsidR="005527E5" w:rsidRPr="005527E5" w:rsidRDefault="005527E5" w:rsidP="005527E5">
            <w:pPr>
              <w:rPr>
                <w:rFonts w:cs="Arial"/>
                <w:color w:val="000000"/>
                <w:sz w:val="18"/>
                <w:szCs w:val="18"/>
                <w:lang w:eastAsia="en-GB"/>
              </w:rPr>
            </w:pPr>
            <w:r w:rsidRPr="005527E5">
              <w:rPr>
                <w:rFonts w:cs="Arial"/>
                <w:color w:val="000000"/>
                <w:sz w:val="18"/>
                <w:szCs w:val="18"/>
                <w:lang w:eastAsia="en-GB"/>
              </w:rPr>
              <w:t>Resources</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9017CB">
            <w:pPr>
              <w:jc w:val="right"/>
              <w:rPr>
                <w:rFonts w:cs="Arial"/>
                <w:color w:val="000000"/>
                <w:sz w:val="20"/>
                <w:lang w:eastAsia="en-GB"/>
              </w:rPr>
            </w:pPr>
            <w:r>
              <w:rPr>
                <w:rFonts w:cs="Arial"/>
                <w:color w:val="000000"/>
                <w:sz w:val="20"/>
                <w:lang w:eastAsia="en-GB"/>
              </w:rPr>
              <w:t>87</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DB4898" w:rsidP="005527E5">
            <w:pPr>
              <w:jc w:val="right"/>
              <w:rPr>
                <w:rFonts w:cs="Arial"/>
                <w:color w:val="000000"/>
                <w:sz w:val="20"/>
                <w:lang w:eastAsia="en-GB"/>
              </w:rPr>
            </w:pPr>
            <w:r>
              <w:rPr>
                <w:rFonts w:cs="Arial"/>
                <w:color w:val="000000"/>
                <w:sz w:val="20"/>
                <w:lang w:eastAsia="en-GB"/>
              </w:rPr>
              <w:t>18</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DB4898" w:rsidP="005527E5">
            <w:pPr>
              <w:jc w:val="right"/>
              <w:rPr>
                <w:rFonts w:cs="Arial"/>
                <w:color w:val="000000"/>
                <w:sz w:val="20"/>
                <w:lang w:eastAsia="en-GB"/>
              </w:rPr>
            </w:pPr>
            <w:r>
              <w:rPr>
                <w:rFonts w:cs="Arial"/>
                <w:color w:val="000000"/>
                <w:sz w:val="20"/>
                <w:lang w:eastAsia="en-GB"/>
              </w:rPr>
              <w:t>105</w:t>
            </w:r>
          </w:p>
        </w:tc>
      </w:tr>
      <w:tr w:rsidR="005527E5" w:rsidRPr="005527E5" w:rsidTr="005527E5">
        <w:trPr>
          <w:trHeight w:val="300"/>
        </w:trPr>
        <w:tc>
          <w:tcPr>
            <w:tcW w:w="2760" w:type="dxa"/>
            <w:tcBorders>
              <w:top w:val="nil"/>
              <w:left w:val="single" w:sz="8" w:space="0" w:color="auto"/>
              <w:bottom w:val="single" w:sz="8" w:space="0" w:color="auto"/>
              <w:right w:val="single" w:sz="8" w:space="0" w:color="auto"/>
            </w:tcBorders>
            <w:shd w:val="clear" w:color="000000" w:fill="FFFFFF"/>
            <w:vAlign w:val="center"/>
            <w:hideMark/>
          </w:tcPr>
          <w:p w:rsidR="005527E5" w:rsidRPr="005527E5" w:rsidRDefault="009017CB" w:rsidP="005527E5">
            <w:pPr>
              <w:rPr>
                <w:rFonts w:cs="Arial"/>
                <w:color w:val="000000"/>
                <w:sz w:val="18"/>
                <w:szCs w:val="18"/>
                <w:lang w:eastAsia="en-GB"/>
              </w:rPr>
            </w:pPr>
            <w:r>
              <w:rPr>
                <w:rFonts w:cs="Arial"/>
                <w:color w:val="000000"/>
                <w:sz w:val="18"/>
                <w:szCs w:val="18"/>
                <w:lang w:eastAsia="en-GB"/>
              </w:rPr>
              <w:t>Community</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E32E24">
            <w:pPr>
              <w:jc w:val="right"/>
              <w:rPr>
                <w:rFonts w:cs="Arial"/>
                <w:color w:val="000000"/>
                <w:sz w:val="20"/>
                <w:lang w:eastAsia="en-GB"/>
              </w:rPr>
            </w:pPr>
            <w:r>
              <w:rPr>
                <w:rFonts w:cs="Arial"/>
                <w:color w:val="000000"/>
                <w:sz w:val="20"/>
                <w:lang w:eastAsia="en-GB"/>
              </w:rPr>
              <w:t>137</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E32E24" w:rsidP="005527E5">
            <w:pPr>
              <w:jc w:val="right"/>
              <w:rPr>
                <w:rFonts w:cs="Arial"/>
                <w:color w:val="000000"/>
                <w:sz w:val="20"/>
                <w:lang w:eastAsia="en-GB"/>
              </w:rPr>
            </w:pPr>
            <w:r>
              <w:rPr>
                <w:rFonts w:cs="Arial"/>
                <w:color w:val="000000"/>
                <w:sz w:val="20"/>
                <w:lang w:eastAsia="en-GB"/>
              </w:rPr>
              <w:t>16</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340C65" w:rsidP="005527E5">
            <w:pPr>
              <w:jc w:val="right"/>
              <w:rPr>
                <w:rFonts w:cs="Arial"/>
                <w:color w:val="000000"/>
                <w:sz w:val="20"/>
                <w:lang w:eastAsia="en-GB"/>
              </w:rPr>
            </w:pPr>
            <w:r>
              <w:rPr>
                <w:rFonts w:cs="Arial"/>
                <w:color w:val="000000"/>
                <w:sz w:val="20"/>
                <w:lang w:eastAsia="en-GB"/>
              </w:rPr>
              <w:t>153</w:t>
            </w:r>
          </w:p>
        </w:tc>
      </w:tr>
      <w:tr w:rsidR="005527E5" w:rsidRPr="005527E5" w:rsidTr="005527E5">
        <w:trPr>
          <w:trHeight w:val="300"/>
        </w:trPr>
        <w:tc>
          <w:tcPr>
            <w:tcW w:w="2760" w:type="dxa"/>
            <w:tcBorders>
              <w:top w:val="nil"/>
              <w:left w:val="single" w:sz="8" w:space="0" w:color="auto"/>
              <w:bottom w:val="single" w:sz="8" w:space="0" w:color="auto"/>
              <w:right w:val="single" w:sz="8" w:space="0" w:color="auto"/>
            </w:tcBorders>
            <w:shd w:val="clear" w:color="000000" w:fill="FFFFFF"/>
            <w:vAlign w:val="center"/>
            <w:hideMark/>
          </w:tcPr>
          <w:p w:rsidR="005527E5" w:rsidRPr="005527E5" w:rsidRDefault="009017CB" w:rsidP="005527E5">
            <w:pPr>
              <w:rPr>
                <w:rFonts w:cs="Arial"/>
                <w:color w:val="000000"/>
                <w:sz w:val="18"/>
                <w:szCs w:val="18"/>
                <w:lang w:eastAsia="en-GB"/>
              </w:rPr>
            </w:pPr>
            <w:r>
              <w:rPr>
                <w:rFonts w:cs="Arial"/>
                <w:color w:val="000000"/>
                <w:sz w:val="18"/>
                <w:szCs w:val="18"/>
                <w:lang w:eastAsia="en-GB"/>
              </w:rPr>
              <w:t>People</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C8086F">
            <w:pPr>
              <w:jc w:val="right"/>
              <w:rPr>
                <w:rFonts w:cs="Arial"/>
                <w:color w:val="000000"/>
                <w:sz w:val="20"/>
                <w:lang w:eastAsia="en-GB"/>
              </w:rPr>
            </w:pPr>
            <w:r>
              <w:rPr>
                <w:rFonts w:cs="Arial"/>
                <w:color w:val="000000"/>
                <w:sz w:val="20"/>
                <w:lang w:eastAsia="en-GB"/>
              </w:rPr>
              <w:t>-</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C8086F">
            <w:pPr>
              <w:jc w:val="right"/>
              <w:rPr>
                <w:rFonts w:cs="Arial"/>
                <w:color w:val="000000"/>
                <w:sz w:val="20"/>
                <w:lang w:eastAsia="en-GB"/>
              </w:rPr>
            </w:pPr>
            <w:r>
              <w:rPr>
                <w:rFonts w:cs="Arial"/>
                <w:color w:val="000000"/>
                <w:sz w:val="20"/>
                <w:lang w:eastAsia="en-GB"/>
              </w:rPr>
              <w:t>1,360</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340C65">
            <w:pPr>
              <w:jc w:val="right"/>
              <w:rPr>
                <w:rFonts w:cs="Arial"/>
                <w:color w:val="000000"/>
                <w:sz w:val="20"/>
                <w:lang w:eastAsia="en-GB"/>
              </w:rPr>
            </w:pPr>
            <w:r>
              <w:rPr>
                <w:rFonts w:cs="Arial"/>
                <w:color w:val="000000"/>
                <w:sz w:val="20"/>
                <w:lang w:eastAsia="en-GB"/>
              </w:rPr>
              <w:t>1,3</w:t>
            </w:r>
            <w:r w:rsidR="00C8086F">
              <w:rPr>
                <w:rFonts w:cs="Arial"/>
                <w:color w:val="000000"/>
                <w:sz w:val="20"/>
                <w:lang w:eastAsia="en-GB"/>
              </w:rPr>
              <w:t>6</w:t>
            </w:r>
            <w:r>
              <w:rPr>
                <w:rFonts w:cs="Arial"/>
                <w:color w:val="000000"/>
                <w:sz w:val="20"/>
                <w:lang w:eastAsia="en-GB"/>
              </w:rPr>
              <w:t>0</w:t>
            </w:r>
          </w:p>
        </w:tc>
      </w:tr>
      <w:tr w:rsidR="005527E5" w:rsidRPr="005527E5" w:rsidTr="005527E5">
        <w:trPr>
          <w:trHeight w:val="300"/>
        </w:trPr>
        <w:tc>
          <w:tcPr>
            <w:tcW w:w="2760" w:type="dxa"/>
            <w:tcBorders>
              <w:top w:val="nil"/>
              <w:left w:val="single" w:sz="8" w:space="0" w:color="auto"/>
              <w:bottom w:val="single" w:sz="8" w:space="0" w:color="auto"/>
              <w:right w:val="single" w:sz="8" w:space="0" w:color="auto"/>
            </w:tcBorders>
            <w:shd w:val="clear" w:color="000000" w:fill="FFFFFF"/>
            <w:vAlign w:val="center"/>
            <w:hideMark/>
          </w:tcPr>
          <w:p w:rsidR="005527E5" w:rsidRPr="005527E5" w:rsidRDefault="009017CB" w:rsidP="005527E5">
            <w:pPr>
              <w:rPr>
                <w:rFonts w:cs="Arial"/>
                <w:color w:val="000000"/>
                <w:sz w:val="18"/>
                <w:szCs w:val="18"/>
                <w:lang w:eastAsia="en-GB"/>
              </w:rPr>
            </w:pPr>
            <w:r>
              <w:rPr>
                <w:rFonts w:cs="Arial"/>
                <w:color w:val="000000"/>
                <w:sz w:val="18"/>
                <w:szCs w:val="18"/>
                <w:lang w:eastAsia="en-GB"/>
              </w:rPr>
              <w:t>Regeneration</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340C65" w:rsidP="005527E5">
            <w:pPr>
              <w:jc w:val="right"/>
              <w:rPr>
                <w:rFonts w:cs="Arial"/>
                <w:color w:val="000000"/>
                <w:sz w:val="20"/>
                <w:lang w:eastAsia="en-GB"/>
              </w:rPr>
            </w:pPr>
            <w:r>
              <w:rPr>
                <w:rFonts w:cs="Arial"/>
                <w:color w:val="000000"/>
                <w:sz w:val="20"/>
                <w:lang w:eastAsia="en-GB"/>
              </w:rPr>
              <w:t>34</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3C421C" w:rsidP="005527E5">
            <w:pPr>
              <w:jc w:val="right"/>
              <w:rPr>
                <w:rFonts w:cs="Arial"/>
                <w:color w:val="000000"/>
                <w:sz w:val="20"/>
                <w:lang w:eastAsia="en-GB"/>
              </w:rPr>
            </w:pPr>
            <w:r>
              <w:rPr>
                <w:rFonts w:cs="Arial"/>
                <w:color w:val="000000"/>
                <w:sz w:val="20"/>
                <w:lang w:eastAsia="en-GB"/>
              </w:rPr>
              <w:t>159</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E32E24" w:rsidP="005527E5">
            <w:pPr>
              <w:jc w:val="right"/>
              <w:rPr>
                <w:rFonts w:cs="Arial"/>
                <w:color w:val="000000"/>
                <w:sz w:val="20"/>
                <w:lang w:eastAsia="en-GB"/>
              </w:rPr>
            </w:pPr>
            <w:r>
              <w:rPr>
                <w:rFonts w:cs="Arial"/>
                <w:color w:val="000000"/>
                <w:sz w:val="20"/>
                <w:lang w:eastAsia="en-GB"/>
              </w:rPr>
              <w:t>175</w:t>
            </w:r>
          </w:p>
        </w:tc>
      </w:tr>
      <w:tr w:rsidR="005527E5" w:rsidRPr="005527E5" w:rsidTr="005527E5">
        <w:trPr>
          <w:trHeight w:val="300"/>
        </w:trPr>
        <w:tc>
          <w:tcPr>
            <w:tcW w:w="2760" w:type="dxa"/>
            <w:tcBorders>
              <w:top w:val="nil"/>
              <w:left w:val="single" w:sz="8" w:space="0" w:color="auto"/>
              <w:bottom w:val="single" w:sz="8" w:space="0" w:color="auto"/>
              <w:right w:val="single" w:sz="8" w:space="0" w:color="auto"/>
            </w:tcBorders>
            <w:shd w:val="clear" w:color="000000" w:fill="FFFFFF"/>
            <w:vAlign w:val="center"/>
            <w:hideMark/>
          </w:tcPr>
          <w:p w:rsidR="005527E5" w:rsidRPr="005527E5" w:rsidRDefault="005527E5" w:rsidP="005527E5">
            <w:pPr>
              <w:rPr>
                <w:rFonts w:cs="Arial"/>
                <w:b/>
                <w:bCs/>
                <w:color w:val="000000"/>
                <w:sz w:val="18"/>
                <w:szCs w:val="18"/>
                <w:lang w:eastAsia="en-GB"/>
              </w:rPr>
            </w:pPr>
            <w:r w:rsidRPr="005527E5">
              <w:rPr>
                <w:rFonts w:cs="Arial"/>
                <w:b/>
                <w:bCs/>
                <w:color w:val="000000"/>
                <w:sz w:val="18"/>
                <w:szCs w:val="18"/>
                <w:lang w:eastAsia="en-GB"/>
              </w:rPr>
              <w:lastRenderedPageBreak/>
              <w:t>Carry Fwd Total</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E32E24">
            <w:pPr>
              <w:jc w:val="right"/>
              <w:rPr>
                <w:rFonts w:cs="Arial"/>
                <w:b/>
                <w:bCs/>
                <w:color w:val="000000"/>
                <w:sz w:val="20"/>
                <w:lang w:eastAsia="en-GB"/>
              </w:rPr>
            </w:pPr>
            <w:r>
              <w:rPr>
                <w:rFonts w:cs="Arial"/>
                <w:b/>
                <w:bCs/>
                <w:color w:val="000000"/>
                <w:sz w:val="20"/>
                <w:lang w:eastAsia="en-GB"/>
              </w:rPr>
              <w:t>258</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E32E24">
            <w:pPr>
              <w:jc w:val="right"/>
              <w:rPr>
                <w:rFonts w:cs="Arial"/>
                <w:b/>
                <w:bCs/>
                <w:color w:val="000000"/>
                <w:sz w:val="20"/>
                <w:lang w:eastAsia="en-GB"/>
              </w:rPr>
            </w:pPr>
            <w:r>
              <w:rPr>
                <w:rFonts w:cs="Arial"/>
                <w:b/>
                <w:bCs/>
                <w:color w:val="000000"/>
                <w:sz w:val="20"/>
                <w:lang w:eastAsia="en-GB"/>
              </w:rPr>
              <w:t>1,517</w:t>
            </w:r>
          </w:p>
        </w:tc>
        <w:tc>
          <w:tcPr>
            <w:tcW w:w="1080" w:type="dxa"/>
            <w:tcBorders>
              <w:top w:val="nil"/>
              <w:left w:val="nil"/>
              <w:bottom w:val="single" w:sz="8" w:space="0" w:color="auto"/>
              <w:right w:val="single" w:sz="8" w:space="0" w:color="auto"/>
            </w:tcBorders>
            <w:shd w:val="clear" w:color="auto" w:fill="auto"/>
            <w:noWrap/>
            <w:vAlign w:val="center"/>
            <w:hideMark/>
          </w:tcPr>
          <w:p w:rsidR="005527E5" w:rsidRPr="005527E5" w:rsidRDefault="005527E5">
            <w:pPr>
              <w:jc w:val="right"/>
              <w:rPr>
                <w:rFonts w:cs="Arial"/>
                <w:b/>
                <w:bCs/>
                <w:color w:val="000000"/>
                <w:sz w:val="20"/>
                <w:lang w:eastAsia="en-GB"/>
              </w:rPr>
            </w:pPr>
            <w:r w:rsidRPr="005527E5">
              <w:rPr>
                <w:rFonts w:cs="Arial"/>
                <w:b/>
                <w:bCs/>
                <w:color w:val="000000"/>
                <w:sz w:val="20"/>
                <w:lang w:eastAsia="en-GB"/>
              </w:rPr>
              <w:t>1,</w:t>
            </w:r>
            <w:r w:rsidR="003C421C">
              <w:rPr>
                <w:rFonts w:cs="Arial"/>
                <w:b/>
                <w:bCs/>
                <w:color w:val="000000"/>
                <w:sz w:val="20"/>
                <w:lang w:eastAsia="en-GB"/>
              </w:rPr>
              <w:t>793</w:t>
            </w:r>
          </w:p>
        </w:tc>
      </w:tr>
    </w:tbl>
    <w:p w:rsidR="00753441" w:rsidRDefault="00753441" w:rsidP="00C767C6">
      <w:pPr>
        <w:ind w:right="304"/>
        <w:jc w:val="both"/>
        <w:rPr>
          <w:rFonts w:cs="Arial"/>
        </w:rPr>
      </w:pPr>
    </w:p>
    <w:p w:rsidR="001A6C9E" w:rsidRPr="009D4182" w:rsidRDefault="00E22B82" w:rsidP="003824AA">
      <w:pPr>
        <w:pStyle w:val="ListParagraph"/>
        <w:numPr>
          <w:ilvl w:val="0"/>
          <w:numId w:val="3"/>
        </w:numPr>
        <w:tabs>
          <w:tab w:val="clear" w:pos="1080"/>
          <w:tab w:val="num" w:pos="567"/>
        </w:tabs>
        <w:ind w:left="567" w:right="304" w:hanging="567"/>
        <w:jc w:val="both"/>
        <w:rPr>
          <w:rFonts w:cs="Arial"/>
        </w:rPr>
      </w:pPr>
      <w:r w:rsidRPr="00E26796">
        <w:rPr>
          <w:rFonts w:cs="Arial"/>
        </w:rPr>
        <w:t>It is recommended that £1.793m is added to reserves in respect of these carry forwards.</w:t>
      </w:r>
      <w:r w:rsidR="00224420">
        <w:rPr>
          <w:rFonts w:cs="Arial"/>
        </w:rPr>
        <w:t xml:space="preserve">  Carry Forward requests have been agreed in line with the </w:t>
      </w:r>
      <w:r w:rsidR="00FA7006">
        <w:rPr>
          <w:rFonts w:cs="Arial"/>
        </w:rPr>
        <w:t>criteria set out in the Financial Regulations.</w:t>
      </w:r>
    </w:p>
    <w:p w:rsidR="00E22B82" w:rsidRDefault="00E22B82" w:rsidP="00C767C6">
      <w:pPr>
        <w:ind w:right="304"/>
        <w:jc w:val="both"/>
        <w:rPr>
          <w:rFonts w:cs="Arial"/>
        </w:rPr>
      </w:pPr>
    </w:p>
    <w:p w:rsidR="00A62BFA" w:rsidRDefault="00A62BFA" w:rsidP="00C767C6">
      <w:pPr>
        <w:jc w:val="both"/>
        <w:rPr>
          <w:rFonts w:cs="Arial"/>
          <w:b/>
        </w:rPr>
      </w:pPr>
    </w:p>
    <w:p w:rsidR="003616A2" w:rsidRDefault="003616A2" w:rsidP="003824AA">
      <w:pPr>
        <w:ind w:firstLine="567"/>
        <w:jc w:val="both"/>
        <w:rPr>
          <w:rFonts w:cs="Arial"/>
          <w:b/>
        </w:rPr>
      </w:pPr>
      <w:r w:rsidRPr="00FA23DE">
        <w:rPr>
          <w:rFonts w:cs="Arial"/>
          <w:b/>
        </w:rPr>
        <w:t>G</w:t>
      </w:r>
      <w:r w:rsidR="00C767C6">
        <w:rPr>
          <w:rFonts w:cs="Arial"/>
          <w:b/>
        </w:rPr>
        <w:t>ENERAL RESERVES</w:t>
      </w:r>
    </w:p>
    <w:p w:rsidR="00761E75" w:rsidRPr="00074EF4" w:rsidRDefault="00761E75" w:rsidP="003824AA">
      <w:pPr>
        <w:pStyle w:val="ListParagraph"/>
        <w:numPr>
          <w:ilvl w:val="0"/>
          <w:numId w:val="3"/>
        </w:numPr>
        <w:tabs>
          <w:tab w:val="clear" w:pos="1080"/>
          <w:tab w:val="num" w:pos="567"/>
        </w:tabs>
        <w:ind w:left="567" w:hanging="567"/>
        <w:jc w:val="both"/>
        <w:rPr>
          <w:rFonts w:cs="Arial"/>
          <w:b/>
        </w:rPr>
      </w:pPr>
      <w:r>
        <w:rPr>
          <w:rFonts w:cs="Arial"/>
        </w:rPr>
        <w:t>Harrow’s</w:t>
      </w:r>
      <w:r w:rsidRPr="00761E75">
        <w:rPr>
          <w:rFonts w:cs="Arial"/>
        </w:rPr>
        <w:t xml:space="preserve"> </w:t>
      </w:r>
      <w:r w:rsidRPr="000F0C4F">
        <w:t xml:space="preserve">level of General </w:t>
      </w:r>
      <w:r w:rsidRPr="009A6165">
        <w:t>Reserves is towards the lower end of what is considered prudent at £10.008m</w:t>
      </w:r>
      <w:r w:rsidR="0060598C" w:rsidRPr="009A6165">
        <w:t>, but is considered adequate given the level of earmarked reserves</w:t>
      </w:r>
      <w:r w:rsidRPr="009A6165">
        <w:t>. It is not recommended to increase the level at this point.</w:t>
      </w:r>
    </w:p>
    <w:p w:rsidR="00761E75" w:rsidRPr="00392365" w:rsidRDefault="00761E75" w:rsidP="00C767C6">
      <w:pPr>
        <w:jc w:val="both"/>
        <w:rPr>
          <w:rFonts w:cs="Arial"/>
          <w:b/>
        </w:rPr>
      </w:pPr>
    </w:p>
    <w:p w:rsidR="00120AB1" w:rsidRPr="009E7168" w:rsidRDefault="00120AB1" w:rsidP="003824AA">
      <w:pPr>
        <w:ind w:right="304" w:firstLine="567"/>
        <w:jc w:val="both"/>
        <w:rPr>
          <w:rFonts w:cs="Arial"/>
          <w:b/>
        </w:rPr>
      </w:pPr>
      <w:r w:rsidRPr="009E7168">
        <w:rPr>
          <w:rFonts w:cs="Arial"/>
          <w:b/>
        </w:rPr>
        <w:t>H</w:t>
      </w:r>
      <w:r w:rsidR="003144B6" w:rsidRPr="009E7168">
        <w:rPr>
          <w:rFonts w:cs="Arial"/>
          <w:b/>
        </w:rPr>
        <w:t xml:space="preserve">OUSING REVENUE ACCOUNT </w:t>
      </w:r>
      <w:r w:rsidRPr="009E7168">
        <w:rPr>
          <w:rFonts w:cs="Arial"/>
          <w:b/>
        </w:rPr>
        <w:t>(HRA)</w:t>
      </w:r>
    </w:p>
    <w:p w:rsidR="00120AB1" w:rsidRPr="00074EF4" w:rsidRDefault="002E5F2B" w:rsidP="003824AA">
      <w:pPr>
        <w:pStyle w:val="ListParagraph"/>
        <w:numPr>
          <w:ilvl w:val="0"/>
          <w:numId w:val="3"/>
        </w:numPr>
        <w:tabs>
          <w:tab w:val="clear" w:pos="1080"/>
          <w:tab w:val="num" w:pos="567"/>
        </w:tabs>
        <w:spacing w:after="240"/>
        <w:ind w:left="567" w:right="306" w:hanging="567"/>
        <w:jc w:val="both"/>
        <w:rPr>
          <w:rFonts w:cs="Arial"/>
          <w:color w:val="FF0000"/>
        </w:rPr>
      </w:pPr>
      <w:r w:rsidRPr="00074EF4">
        <w:rPr>
          <w:rFonts w:cs="Arial"/>
          <w:szCs w:val="24"/>
        </w:rPr>
        <w:t>The HRA has a surplus of £2.248m against a budgeted surplus of £0.601m. The main contributing factors are increased capitalisation of costs associated with the Homes-4-Harrow scheme, underspends in operating expenditure and reduced contributions to the bad debt provision. The outturn also includes reduced depreciation charges which result in only a transfer of resources to the Major Repairs Reserve which is used to finance capital expenditure.</w:t>
      </w:r>
      <w:r w:rsidR="00194B89">
        <w:rPr>
          <w:rFonts w:cs="Arial"/>
          <w:szCs w:val="24"/>
        </w:rPr>
        <w:t xml:space="preserve"> A more detailed analysis of the HRA Outturn position is set out at Appendix 4.</w:t>
      </w:r>
    </w:p>
    <w:p w:rsidR="005761F6" w:rsidRPr="00F63815" w:rsidRDefault="005761F6" w:rsidP="00C767C6">
      <w:pPr>
        <w:jc w:val="both"/>
        <w:rPr>
          <w:rFonts w:cs="Arial"/>
          <w:b/>
        </w:rPr>
      </w:pPr>
    </w:p>
    <w:p w:rsidR="00392365" w:rsidRPr="009A6165" w:rsidRDefault="005761F6" w:rsidP="003824AA">
      <w:pPr>
        <w:pStyle w:val="ListParagraph"/>
        <w:numPr>
          <w:ilvl w:val="0"/>
          <w:numId w:val="3"/>
        </w:numPr>
        <w:tabs>
          <w:tab w:val="clear" w:pos="1080"/>
          <w:tab w:val="num" w:pos="567"/>
        </w:tabs>
        <w:spacing w:after="240"/>
        <w:ind w:left="567" w:hanging="567"/>
        <w:jc w:val="both"/>
        <w:rPr>
          <w:rFonts w:cs="Arial"/>
        </w:rPr>
      </w:pPr>
      <w:r w:rsidRPr="009A6165">
        <w:rPr>
          <w:rFonts w:cs="Arial"/>
        </w:rPr>
        <w:t xml:space="preserve">The </w:t>
      </w:r>
      <w:r w:rsidR="009A6165" w:rsidRPr="00074EF4">
        <w:t>reported outturn for the Housing Revenue Account includes a contribution to the provision for bad &amp; doubtful debts of £13k. This is after allowing for the write off of £55k HRA debt owed by tenants but which is not recoverable.  The Council maintains a dialogue with tenants using all means available followed by formal correspondence offering repayment plans. Where this is unsuccessful, preparations for legal proceedings are put in place and ultimately eviction as a last resort. The majority of write offs in 2015/16 relate to former tenants who have left no forwarding address. Although checks are made with Revenues and Benefits and Experian, there is often no alternative but to write off. Approval of Cabinet is sought to write off this irrecoverable debt.</w:t>
      </w:r>
    </w:p>
    <w:p w:rsidR="00120AB1" w:rsidRPr="00CB62CE" w:rsidRDefault="00ED5E14" w:rsidP="003824AA">
      <w:pPr>
        <w:ind w:right="304" w:firstLine="360"/>
        <w:jc w:val="both"/>
        <w:rPr>
          <w:rFonts w:cs="Arial"/>
          <w:b/>
        </w:rPr>
      </w:pPr>
      <w:r>
        <w:rPr>
          <w:rFonts w:cs="Arial"/>
          <w:b/>
        </w:rPr>
        <w:t>CAPITAL</w:t>
      </w:r>
    </w:p>
    <w:p w:rsidR="00570686" w:rsidRPr="00074EF4" w:rsidRDefault="00C53FBB" w:rsidP="003824AA">
      <w:pPr>
        <w:pStyle w:val="ListParagraph"/>
        <w:numPr>
          <w:ilvl w:val="0"/>
          <w:numId w:val="3"/>
        </w:numPr>
        <w:ind w:left="360" w:right="304"/>
        <w:jc w:val="both"/>
        <w:rPr>
          <w:rFonts w:cs="Arial"/>
        </w:rPr>
      </w:pPr>
      <w:r w:rsidRPr="00276194">
        <w:rPr>
          <w:rFonts w:cs="Arial"/>
        </w:rPr>
        <w:t>Total spend on the capital programme for the year is £</w:t>
      </w:r>
      <w:r w:rsidR="00276194" w:rsidRPr="00276194">
        <w:rPr>
          <w:rFonts w:cs="Arial"/>
        </w:rPr>
        <w:t>93.2</w:t>
      </w:r>
      <w:r w:rsidRPr="00276194">
        <w:rPr>
          <w:rFonts w:cs="Arial"/>
        </w:rPr>
        <w:t>m (£</w:t>
      </w:r>
      <w:r w:rsidR="00E26796" w:rsidRPr="00074EF4">
        <w:rPr>
          <w:rFonts w:cs="Arial"/>
        </w:rPr>
        <w:t>79.6</w:t>
      </w:r>
      <w:r w:rsidRPr="00276194">
        <w:rPr>
          <w:rFonts w:cs="Arial"/>
        </w:rPr>
        <w:t>m General Fund and £</w:t>
      </w:r>
      <w:r w:rsidR="00E26796" w:rsidRPr="00074EF4">
        <w:rPr>
          <w:rFonts w:cs="Arial"/>
        </w:rPr>
        <w:t>13.</w:t>
      </w:r>
      <w:r w:rsidR="00276194">
        <w:rPr>
          <w:rFonts w:cs="Arial"/>
        </w:rPr>
        <w:t>6</w:t>
      </w:r>
      <w:r w:rsidRPr="00276194">
        <w:rPr>
          <w:rFonts w:cs="Arial"/>
        </w:rPr>
        <w:t>m HRA)</w:t>
      </w:r>
      <w:r w:rsidR="00C4240B">
        <w:rPr>
          <w:rFonts w:cs="Arial"/>
        </w:rPr>
        <w:t>,which</w:t>
      </w:r>
      <w:r w:rsidRPr="00276194">
        <w:rPr>
          <w:rFonts w:cs="Arial"/>
        </w:rPr>
        <w:t>compares to an approved budget of £</w:t>
      </w:r>
      <w:r w:rsidR="00E26796" w:rsidRPr="00074EF4">
        <w:rPr>
          <w:rFonts w:cs="Arial"/>
        </w:rPr>
        <w:t>156.9</w:t>
      </w:r>
      <w:r w:rsidRPr="00276194">
        <w:rPr>
          <w:rFonts w:cs="Arial"/>
        </w:rPr>
        <w:t>m (£</w:t>
      </w:r>
      <w:r w:rsidR="00E26796" w:rsidRPr="00074EF4">
        <w:rPr>
          <w:rFonts w:cs="Arial"/>
        </w:rPr>
        <w:t>126.</w:t>
      </w:r>
      <w:r w:rsidR="00276194" w:rsidRPr="00276194">
        <w:rPr>
          <w:rFonts w:cs="Arial"/>
        </w:rPr>
        <w:t>7</w:t>
      </w:r>
      <w:r w:rsidRPr="00276194">
        <w:rPr>
          <w:rFonts w:cs="Arial"/>
        </w:rPr>
        <w:t>m General Fund and £</w:t>
      </w:r>
      <w:r w:rsidR="00E26796" w:rsidRPr="00074EF4">
        <w:rPr>
          <w:rFonts w:cs="Arial"/>
        </w:rPr>
        <w:t>30.2</w:t>
      </w:r>
      <w:r w:rsidRPr="00276194">
        <w:rPr>
          <w:rFonts w:cs="Arial"/>
        </w:rPr>
        <w:t>m HRA)</w:t>
      </w:r>
      <w:r w:rsidR="00C4240B">
        <w:rPr>
          <w:rFonts w:cs="Arial"/>
        </w:rPr>
        <w:t>.  The total spend of £93.2m was  59% of the approved budget.</w:t>
      </w:r>
      <w:r w:rsidRPr="00276194">
        <w:rPr>
          <w:rFonts w:cs="Arial"/>
        </w:rPr>
        <w:t xml:space="preserve">    The variance of £</w:t>
      </w:r>
      <w:r w:rsidR="00276194" w:rsidRPr="00276194">
        <w:rPr>
          <w:rFonts w:cs="Arial"/>
        </w:rPr>
        <w:t>63.8</w:t>
      </w:r>
      <w:r w:rsidR="00944063" w:rsidRPr="00276194">
        <w:rPr>
          <w:rFonts w:cs="Arial"/>
        </w:rPr>
        <w:t>m comprises</w:t>
      </w:r>
      <w:r w:rsidR="00AB47A7" w:rsidRPr="00276194">
        <w:rPr>
          <w:rFonts w:cs="Arial"/>
        </w:rPr>
        <w:t xml:space="preserve"> of</w:t>
      </w:r>
      <w:r w:rsidRPr="00276194">
        <w:rPr>
          <w:rFonts w:cs="Arial"/>
        </w:rPr>
        <w:t xml:space="preserve"> slippage of £4</w:t>
      </w:r>
      <w:r w:rsidR="00F51289">
        <w:rPr>
          <w:rFonts w:cs="Arial"/>
        </w:rPr>
        <w:t>1.</w:t>
      </w:r>
      <w:r w:rsidR="009834F0">
        <w:rPr>
          <w:rFonts w:cs="Arial"/>
        </w:rPr>
        <w:t>4</w:t>
      </w:r>
      <w:r w:rsidRPr="00276194">
        <w:rPr>
          <w:rFonts w:cs="Arial"/>
        </w:rPr>
        <w:t>m General Fund and</w:t>
      </w:r>
      <w:r w:rsidR="000F0C4F" w:rsidRPr="00276194">
        <w:rPr>
          <w:rFonts w:cs="Arial"/>
        </w:rPr>
        <w:t xml:space="preserve"> </w:t>
      </w:r>
      <w:r w:rsidRPr="00276194">
        <w:rPr>
          <w:rFonts w:cs="Arial"/>
        </w:rPr>
        <w:t>£</w:t>
      </w:r>
      <w:r w:rsidR="002F1506" w:rsidRPr="00074EF4">
        <w:rPr>
          <w:rFonts w:cs="Arial"/>
        </w:rPr>
        <w:t>1</w:t>
      </w:r>
      <w:r w:rsidR="00276194" w:rsidRPr="00276194">
        <w:rPr>
          <w:rFonts w:cs="Arial"/>
        </w:rPr>
        <w:t>6</w:t>
      </w:r>
      <w:r w:rsidR="00AB47A7" w:rsidRPr="00276194">
        <w:rPr>
          <w:rFonts w:cs="Arial"/>
        </w:rPr>
        <w:t>.</w:t>
      </w:r>
      <w:r w:rsidR="00276194" w:rsidRPr="00276194">
        <w:rPr>
          <w:rFonts w:cs="Arial"/>
        </w:rPr>
        <w:t>7</w:t>
      </w:r>
      <w:r w:rsidRPr="00276194">
        <w:rPr>
          <w:rFonts w:cs="Arial"/>
        </w:rPr>
        <w:t>m HRA with underspends of £</w:t>
      </w:r>
      <w:r w:rsidR="00F51289">
        <w:rPr>
          <w:rFonts w:cs="Arial"/>
        </w:rPr>
        <w:t>5</w:t>
      </w:r>
      <w:r w:rsidR="002F1506" w:rsidRPr="00074EF4">
        <w:rPr>
          <w:rFonts w:cs="Arial"/>
        </w:rPr>
        <w:t>.</w:t>
      </w:r>
      <w:r w:rsidR="009834F0">
        <w:rPr>
          <w:rFonts w:cs="Arial"/>
        </w:rPr>
        <w:t>7</w:t>
      </w:r>
      <w:r w:rsidRPr="00276194">
        <w:rPr>
          <w:rFonts w:cs="Arial"/>
        </w:rPr>
        <w:t>m General Fund</w:t>
      </w:r>
      <w:r w:rsidR="00276194" w:rsidRPr="00276194">
        <w:rPr>
          <w:rFonts w:cs="Arial"/>
        </w:rPr>
        <w:t>.</w:t>
      </w:r>
      <w:r w:rsidR="005C5316" w:rsidRPr="00074EF4">
        <w:rPr>
          <w:rFonts w:cs="Arial"/>
          <w:iCs/>
        </w:rPr>
        <w:t xml:space="preserve"> </w:t>
      </w:r>
      <w:r w:rsidR="002D1EE4" w:rsidRPr="00074EF4">
        <w:rPr>
          <w:rFonts w:cs="Arial"/>
          <w:iCs/>
        </w:rPr>
        <w:t>The summary position and funding of the programme is shown in table 4.</w:t>
      </w:r>
      <w:r w:rsidR="00C954E5" w:rsidRPr="00074EF4">
        <w:rPr>
          <w:rFonts w:cs="Arial"/>
          <w:iCs/>
        </w:rPr>
        <w:t xml:space="preserve">  The slippage identified in Table 4 and detailed in Appendix </w:t>
      </w:r>
      <w:r w:rsidR="00B430E3" w:rsidRPr="00276194">
        <w:rPr>
          <w:rFonts w:cs="Arial"/>
          <w:iCs/>
        </w:rPr>
        <w:t>2</w:t>
      </w:r>
      <w:r w:rsidR="00C954E5" w:rsidRPr="00074EF4">
        <w:rPr>
          <w:rFonts w:cs="Arial"/>
          <w:iCs/>
        </w:rPr>
        <w:t xml:space="preserve"> has been a</w:t>
      </w:r>
      <w:r w:rsidR="004867E1">
        <w:rPr>
          <w:rFonts w:cs="Arial"/>
          <w:iCs/>
        </w:rPr>
        <w:t xml:space="preserve">greed </w:t>
      </w:r>
      <w:r w:rsidR="00C954E5" w:rsidRPr="00074EF4">
        <w:rPr>
          <w:rFonts w:cs="Arial"/>
          <w:iCs/>
        </w:rPr>
        <w:t xml:space="preserve"> as carry forwards by the Chief Finance Officer</w:t>
      </w:r>
      <w:r w:rsidR="004867E1">
        <w:rPr>
          <w:rFonts w:cs="Arial"/>
          <w:iCs/>
        </w:rPr>
        <w:t xml:space="preserve"> in accordance with Financial Regulations</w:t>
      </w:r>
      <w:r w:rsidR="00C954E5" w:rsidRPr="00074EF4">
        <w:rPr>
          <w:rFonts w:cs="Arial"/>
          <w:iCs/>
        </w:rPr>
        <w:t xml:space="preserve">. </w:t>
      </w:r>
    </w:p>
    <w:p w:rsidR="00C53FBB" w:rsidRPr="00074EF4" w:rsidRDefault="00C53FBB" w:rsidP="00074EF4">
      <w:pPr>
        <w:pStyle w:val="ListParagraph"/>
        <w:ind w:left="360" w:right="304"/>
        <w:jc w:val="both"/>
        <w:rPr>
          <w:rFonts w:cs="Arial"/>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864EF6" w:rsidRDefault="00864EF6" w:rsidP="00BF1FE3">
      <w:pPr>
        <w:ind w:left="360" w:right="304"/>
        <w:rPr>
          <w:rFonts w:cs="Arial"/>
          <w:b/>
        </w:rPr>
      </w:pPr>
    </w:p>
    <w:p w:rsidR="00AB47A7" w:rsidRPr="003824AA" w:rsidRDefault="003A4BD3" w:rsidP="00BF1FE3">
      <w:pPr>
        <w:ind w:left="360" w:right="304"/>
        <w:rPr>
          <w:rFonts w:cs="Arial"/>
          <w:b/>
        </w:rPr>
      </w:pPr>
      <w:r w:rsidRPr="003824AA">
        <w:rPr>
          <w:rFonts w:cs="Arial"/>
          <w:b/>
        </w:rPr>
        <w:t xml:space="preserve">Table </w:t>
      </w:r>
      <w:r w:rsidR="002D1EE4" w:rsidRPr="003824AA">
        <w:rPr>
          <w:rFonts w:cs="Arial"/>
          <w:b/>
        </w:rPr>
        <w:t>4</w:t>
      </w:r>
      <w:r w:rsidR="00F0007A" w:rsidRPr="003824AA">
        <w:rPr>
          <w:rFonts w:cs="Arial"/>
          <w:b/>
        </w:rPr>
        <w:t xml:space="preserve"> Capital Outturn </w:t>
      </w:r>
      <w:r w:rsidR="00E26796" w:rsidRPr="003824AA">
        <w:rPr>
          <w:rFonts w:cs="Arial"/>
          <w:b/>
        </w:rPr>
        <w:t>2015/16</w:t>
      </w:r>
      <w:r w:rsidR="00F0007A" w:rsidRPr="003824AA">
        <w:rPr>
          <w:rFonts w:cs="Arial"/>
          <w:b/>
        </w:rPr>
        <w:t xml:space="preserve"> Summary</w:t>
      </w:r>
      <w:r w:rsidR="00276194" w:rsidRPr="003824AA">
        <w:rPr>
          <w:rFonts w:cs="Arial"/>
          <w:b/>
        </w:rPr>
        <w:t xml:space="preserve"> </w:t>
      </w:r>
    </w:p>
    <w:p w:rsidR="00A62BFA" w:rsidRPr="00074EF4" w:rsidRDefault="009834F0">
      <w:pPr>
        <w:spacing w:after="240"/>
        <w:ind w:right="304"/>
        <w:jc w:val="both"/>
        <w:rPr>
          <w:rFonts w:cs="Arial"/>
          <w:iCs/>
          <w:color w:val="FF0000"/>
        </w:rPr>
      </w:pPr>
      <w:r w:rsidRPr="009834F0">
        <w:rPr>
          <w:noProof/>
          <w:lang w:eastAsia="en-GB"/>
        </w:rPr>
        <w:drawing>
          <wp:inline distT="0" distB="0" distL="0" distR="0" wp14:anchorId="6AAB6498" wp14:editId="4C3F0398">
            <wp:extent cx="5981700" cy="3267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3267075"/>
                    </a:xfrm>
                    <a:prstGeom prst="rect">
                      <a:avLst/>
                    </a:prstGeom>
                    <a:noFill/>
                    <a:ln>
                      <a:noFill/>
                    </a:ln>
                  </pic:spPr>
                </pic:pic>
              </a:graphicData>
            </a:graphic>
          </wp:inline>
        </w:drawing>
      </w:r>
    </w:p>
    <w:p w:rsidR="00344347" w:rsidRDefault="00344347" w:rsidP="003824AA">
      <w:pPr>
        <w:pStyle w:val="ListParagraph"/>
        <w:numPr>
          <w:ilvl w:val="0"/>
          <w:numId w:val="3"/>
        </w:numPr>
        <w:tabs>
          <w:tab w:val="clear" w:pos="1080"/>
          <w:tab w:val="num" w:pos="426"/>
        </w:tabs>
        <w:ind w:left="426" w:hanging="426"/>
        <w:rPr>
          <w:szCs w:val="24"/>
        </w:rPr>
      </w:pPr>
      <w:r w:rsidRPr="003824AA">
        <w:rPr>
          <w:szCs w:val="24"/>
        </w:rPr>
        <w:t>The net underspend set out in Table 4 is £5.7m.  However, the net usable underspend is only £457k as set out in the table below.  Of the £5.7m, £5.25m relates to capital that was funded from grants, section 106 or relates to budget adjustments where a budget has already been increased in 2016/17.  This leaves a net balance of £457k which is the genuine underspend in the capital programme for 2015/16.  This £457k underspend has led to savings in treasury management as the Council’s cash balances have remained higher due to the reduced amount of capital expenditure.</w:t>
      </w:r>
    </w:p>
    <w:p w:rsidR="00344347" w:rsidRDefault="00344347" w:rsidP="003824AA">
      <w:pPr>
        <w:pStyle w:val="ListParagraph"/>
        <w:ind w:left="502"/>
        <w:rPr>
          <w:szCs w:val="24"/>
        </w:rPr>
      </w:pPr>
    </w:p>
    <w:p w:rsidR="001A7954" w:rsidRDefault="001A7954" w:rsidP="003824AA">
      <w:pPr>
        <w:pStyle w:val="ListParagraph"/>
        <w:ind w:left="502"/>
        <w:rPr>
          <w:szCs w:val="24"/>
        </w:rPr>
      </w:pPr>
    </w:p>
    <w:p w:rsidR="001A7954" w:rsidRDefault="001A7954" w:rsidP="003824AA">
      <w:pPr>
        <w:pStyle w:val="ListParagraph"/>
        <w:ind w:left="502"/>
        <w:rPr>
          <w:szCs w:val="24"/>
        </w:rPr>
      </w:pPr>
    </w:p>
    <w:p w:rsidR="001A7954" w:rsidRDefault="001A7954" w:rsidP="003824AA">
      <w:pPr>
        <w:pStyle w:val="ListParagraph"/>
        <w:ind w:left="502"/>
        <w:rPr>
          <w:szCs w:val="24"/>
        </w:rPr>
      </w:pPr>
    </w:p>
    <w:p w:rsidR="001A7954" w:rsidRDefault="001A7954" w:rsidP="003824AA">
      <w:pPr>
        <w:pStyle w:val="ListParagraph"/>
        <w:ind w:left="502"/>
        <w:rPr>
          <w:szCs w:val="24"/>
        </w:rPr>
      </w:pPr>
    </w:p>
    <w:p w:rsidR="001A7954" w:rsidRDefault="001A7954" w:rsidP="003824AA">
      <w:pPr>
        <w:pStyle w:val="ListParagraph"/>
        <w:ind w:left="502"/>
        <w:rPr>
          <w:szCs w:val="24"/>
        </w:rPr>
      </w:pPr>
    </w:p>
    <w:p w:rsidR="001A7954" w:rsidRDefault="001A7954" w:rsidP="003824AA">
      <w:pPr>
        <w:pStyle w:val="ListParagraph"/>
        <w:ind w:left="502"/>
        <w:rPr>
          <w:szCs w:val="24"/>
        </w:rPr>
      </w:pPr>
    </w:p>
    <w:p w:rsidR="001A7954" w:rsidRDefault="001A7954" w:rsidP="003824AA">
      <w:pPr>
        <w:pStyle w:val="ListParagraph"/>
        <w:ind w:left="502"/>
        <w:rPr>
          <w:szCs w:val="24"/>
        </w:rPr>
      </w:pPr>
    </w:p>
    <w:p w:rsidR="001A7954" w:rsidRPr="003824AA" w:rsidRDefault="001A7954" w:rsidP="003824AA">
      <w:pPr>
        <w:pStyle w:val="ListParagraph"/>
        <w:ind w:left="502"/>
        <w:rPr>
          <w:szCs w:val="24"/>
        </w:rPr>
      </w:pPr>
    </w:p>
    <w:p w:rsidR="00864EF6" w:rsidRDefault="00864EF6" w:rsidP="003824AA">
      <w:pPr>
        <w:rPr>
          <w:b/>
          <w:szCs w:val="24"/>
        </w:rPr>
      </w:pPr>
    </w:p>
    <w:p w:rsidR="00864EF6" w:rsidRDefault="00864EF6" w:rsidP="003824AA">
      <w:pPr>
        <w:rPr>
          <w:b/>
          <w:szCs w:val="24"/>
        </w:rPr>
      </w:pPr>
    </w:p>
    <w:p w:rsidR="00864EF6" w:rsidRDefault="00864EF6" w:rsidP="003824AA">
      <w:pPr>
        <w:rPr>
          <w:b/>
          <w:szCs w:val="24"/>
        </w:rPr>
      </w:pPr>
    </w:p>
    <w:p w:rsidR="00864EF6" w:rsidRDefault="00864EF6" w:rsidP="003824AA">
      <w:pPr>
        <w:rPr>
          <w:b/>
          <w:szCs w:val="24"/>
        </w:rPr>
      </w:pPr>
    </w:p>
    <w:p w:rsidR="00864EF6" w:rsidRDefault="00864EF6" w:rsidP="003824AA">
      <w:pPr>
        <w:rPr>
          <w:b/>
          <w:szCs w:val="24"/>
        </w:rPr>
      </w:pPr>
    </w:p>
    <w:p w:rsidR="00864EF6" w:rsidRDefault="00864EF6" w:rsidP="003824AA">
      <w:pPr>
        <w:rPr>
          <w:b/>
          <w:szCs w:val="24"/>
        </w:rPr>
      </w:pPr>
    </w:p>
    <w:p w:rsidR="00864EF6" w:rsidRDefault="00864EF6" w:rsidP="003824AA">
      <w:pPr>
        <w:rPr>
          <w:b/>
          <w:szCs w:val="24"/>
        </w:rPr>
      </w:pPr>
    </w:p>
    <w:p w:rsidR="00864EF6" w:rsidRDefault="00864EF6" w:rsidP="003824AA">
      <w:pPr>
        <w:rPr>
          <w:b/>
          <w:szCs w:val="24"/>
        </w:rPr>
      </w:pPr>
    </w:p>
    <w:p w:rsidR="00864EF6" w:rsidRDefault="00864EF6" w:rsidP="003824AA">
      <w:pPr>
        <w:rPr>
          <w:b/>
          <w:szCs w:val="24"/>
        </w:rPr>
      </w:pPr>
    </w:p>
    <w:p w:rsidR="00864EF6" w:rsidRDefault="00864EF6" w:rsidP="003824AA">
      <w:pPr>
        <w:rPr>
          <w:b/>
          <w:szCs w:val="24"/>
        </w:rPr>
      </w:pPr>
    </w:p>
    <w:p w:rsidR="00864EF6" w:rsidRDefault="00864EF6" w:rsidP="003824AA">
      <w:pPr>
        <w:rPr>
          <w:b/>
          <w:szCs w:val="24"/>
        </w:rPr>
      </w:pPr>
    </w:p>
    <w:p w:rsidR="00344347" w:rsidRDefault="00344347" w:rsidP="003824AA">
      <w:pPr>
        <w:rPr>
          <w:b/>
          <w:szCs w:val="24"/>
        </w:rPr>
      </w:pPr>
      <w:r>
        <w:rPr>
          <w:b/>
          <w:szCs w:val="24"/>
        </w:rPr>
        <w:lastRenderedPageBreak/>
        <w:t>Table 5:Analysis of £5.7m underspend</w:t>
      </w:r>
    </w:p>
    <w:p w:rsidR="00344347" w:rsidRDefault="00344347" w:rsidP="003824AA">
      <w:pPr>
        <w:rPr>
          <w:b/>
          <w:szCs w:val="24"/>
        </w:rPr>
      </w:pPr>
      <w:r w:rsidRPr="00344347">
        <w:rPr>
          <w:noProof/>
          <w:lang w:eastAsia="en-GB"/>
        </w:rPr>
        <w:drawing>
          <wp:inline distT="0" distB="0" distL="0" distR="0" wp14:anchorId="2879B909" wp14:editId="60BC4770">
            <wp:extent cx="6122035" cy="253325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035" cy="2533256"/>
                    </a:xfrm>
                    <a:prstGeom prst="rect">
                      <a:avLst/>
                    </a:prstGeom>
                    <a:noFill/>
                    <a:ln>
                      <a:noFill/>
                    </a:ln>
                  </pic:spPr>
                </pic:pic>
              </a:graphicData>
            </a:graphic>
          </wp:inline>
        </w:drawing>
      </w:r>
    </w:p>
    <w:p w:rsidR="00344347" w:rsidRDefault="00344347" w:rsidP="003824AA">
      <w:pPr>
        <w:rPr>
          <w:b/>
          <w:szCs w:val="24"/>
        </w:rPr>
      </w:pPr>
    </w:p>
    <w:p w:rsidR="00344347" w:rsidRPr="003824AA" w:rsidRDefault="00344347" w:rsidP="003824AA">
      <w:pPr>
        <w:rPr>
          <w:b/>
          <w:szCs w:val="24"/>
        </w:rPr>
      </w:pPr>
    </w:p>
    <w:p w:rsidR="00B204B7" w:rsidRPr="00074EF4" w:rsidRDefault="00B204B7" w:rsidP="003824AA">
      <w:pPr>
        <w:pStyle w:val="ListParagraph"/>
        <w:numPr>
          <w:ilvl w:val="0"/>
          <w:numId w:val="3"/>
        </w:numPr>
        <w:tabs>
          <w:tab w:val="clear" w:pos="1080"/>
          <w:tab w:val="num" w:pos="567"/>
        </w:tabs>
        <w:ind w:hanging="1080"/>
        <w:rPr>
          <w:b/>
          <w:szCs w:val="24"/>
        </w:rPr>
      </w:pPr>
      <w:r w:rsidRPr="00074EF4">
        <w:rPr>
          <w:b/>
          <w:szCs w:val="24"/>
        </w:rPr>
        <w:t xml:space="preserve">Reductions in </w:t>
      </w:r>
      <w:r w:rsidR="00CA49AC" w:rsidRPr="00074EF4">
        <w:rPr>
          <w:b/>
          <w:szCs w:val="24"/>
        </w:rPr>
        <w:t xml:space="preserve">the Capital  </w:t>
      </w:r>
      <w:r w:rsidRPr="00074EF4">
        <w:rPr>
          <w:b/>
          <w:szCs w:val="24"/>
        </w:rPr>
        <w:t>Programme</w:t>
      </w:r>
    </w:p>
    <w:p w:rsidR="00CA49AC" w:rsidRPr="00074EF4" w:rsidRDefault="00CA49AC" w:rsidP="00074EF4">
      <w:pPr>
        <w:pStyle w:val="ListParagraph"/>
        <w:spacing w:after="240"/>
        <w:ind w:left="502" w:right="304"/>
        <w:jc w:val="both"/>
        <w:rPr>
          <w:rFonts w:cs="Arial"/>
          <w:szCs w:val="24"/>
        </w:rPr>
      </w:pPr>
    </w:p>
    <w:p w:rsidR="00CA49AC" w:rsidRDefault="00CA49AC" w:rsidP="00074EF4">
      <w:pPr>
        <w:pStyle w:val="ListParagraph"/>
        <w:spacing w:after="240"/>
        <w:ind w:left="502" w:right="304"/>
        <w:jc w:val="both"/>
        <w:rPr>
          <w:rFonts w:cs="Arial"/>
          <w:szCs w:val="24"/>
        </w:rPr>
      </w:pPr>
      <w:r w:rsidRPr="00074EF4">
        <w:rPr>
          <w:rFonts w:cs="Arial"/>
          <w:szCs w:val="24"/>
        </w:rPr>
        <w:t>The following reduction has been made to the Capital Programme in the Community Capital Programme.</w:t>
      </w:r>
    </w:p>
    <w:p w:rsidR="00344347" w:rsidRPr="00074EF4" w:rsidRDefault="00344347" w:rsidP="00074EF4">
      <w:pPr>
        <w:pStyle w:val="ListParagraph"/>
        <w:spacing w:after="240"/>
        <w:ind w:left="502" w:right="304"/>
        <w:jc w:val="both"/>
        <w:rPr>
          <w:rFonts w:cs="Arial"/>
          <w:szCs w:val="24"/>
        </w:rPr>
      </w:pPr>
    </w:p>
    <w:p w:rsidR="00E877AE" w:rsidRPr="00074EF4" w:rsidRDefault="00EA6443" w:rsidP="00145C62">
      <w:pPr>
        <w:spacing w:after="240"/>
        <w:ind w:left="374" w:right="304" w:hanging="360"/>
        <w:contextualSpacing/>
        <w:jc w:val="both"/>
        <w:rPr>
          <w:rFonts w:cs="Arial"/>
          <w:b/>
          <w:szCs w:val="24"/>
        </w:rPr>
      </w:pPr>
      <w:r w:rsidRPr="00074EF4">
        <w:rPr>
          <w:rFonts w:cs="Arial"/>
          <w:b/>
          <w:szCs w:val="24"/>
        </w:rPr>
        <w:t xml:space="preserve">Table 6: Reductions in Capital Programme </w:t>
      </w:r>
      <w:r w:rsidR="00E877AE" w:rsidRPr="00074EF4">
        <w:rPr>
          <w:rFonts w:cs="Arial"/>
          <w:b/>
          <w:szCs w:val="24"/>
        </w:rPr>
        <w:t>2015/16</w:t>
      </w:r>
    </w:p>
    <w:tbl>
      <w:tblPr>
        <w:tblStyle w:val="TableGrid"/>
        <w:tblW w:w="7196" w:type="dxa"/>
        <w:tblLook w:val="04A0" w:firstRow="1" w:lastRow="0" w:firstColumn="1" w:lastColumn="0" w:noHBand="0" w:noVBand="1"/>
      </w:tblPr>
      <w:tblGrid>
        <w:gridCol w:w="6062"/>
        <w:gridCol w:w="1134"/>
      </w:tblGrid>
      <w:tr w:rsidR="00E877AE" w:rsidRPr="00E877AE" w:rsidTr="00E877AE">
        <w:trPr>
          <w:trHeight w:val="255"/>
        </w:trPr>
        <w:tc>
          <w:tcPr>
            <w:tcW w:w="6062" w:type="dxa"/>
            <w:noWrap/>
            <w:hideMark/>
          </w:tcPr>
          <w:p w:rsidR="00E877AE" w:rsidRPr="00E877AE" w:rsidRDefault="00E877AE" w:rsidP="00E877AE">
            <w:pPr>
              <w:rPr>
                <w:rFonts w:cs="Arial"/>
                <w:sz w:val="20"/>
                <w:lang w:eastAsia="en-GB"/>
              </w:rPr>
            </w:pPr>
            <w:r w:rsidRPr="00E877AE">
              <w:rPr>
                <w:rFonts w:cs="Arial"/>
                <w:sz w:val="20"/>
                <w:lang w:eastAsia="en-GB"/>
              </w:rPr>
              <w:t>Item</w:t>
            </w:r>
          </w:p>
        </w:tc>
        <w:tc>
          <w:tcPr>
            <w:tcW w:w="1134" w:type="dxa"/>
            <w:noWrap/>
            <w:hideMark/>
          </w:tcPr>
          <w:p w:rsidR="00E877AE" w:rsidRPr="00E877AE" w:rsidRDefault="00E877AE" w:rsidP="00E877AE">
            <w:pPr>
              <w:rPr>
                <w:rFonts w:cs="Arial"/>
                <w:sz w:val="20"/>
                <w:lang w:eastAsia="en-GB"/>
              </w:rPr>
            </w:pPr>
            <w:r w:rsidRPr="00E877AE">
              <w:rPr>
                <w:rFonts w:cs="Arial"/>
                <w:sz w:val="20"/>
                <w:lang w:eastAsia="en-GB"/>
              </w:rPr>
              <w:t>£000</w:t>
            </w:r>
          </w:p>
        </w:tc>
      </w:tr>
      <w:tr w:rsidR="00E877AE" w:rsidRPr="00E877AE" w:rsidTr="00074EF4">
        <w:trPr>
          <w:trHeight w:val="902"/>
        </w:trPr>
        <w:tc>
          <w:tcPr>
            <w:tcW w:w="6062" w:type="dxa"/>
            <w:hideMark/>
          </w:tcPr>
          <w:p w:rsidR="00E877AE" w:rsidRPr="00E877AE" w:rsidRDefault="00E877AE" w:rsidP="00E877AE">
            <w:pPr>
              <w:rPr>
                <w:rFonts w:cs="Arial"/>
                <w:sz w:val="20"/>
                <w:lang w:eastAsia="en-GB"/>
              </w:rPr>
            </w:pPr>
            <w:r w:rsidRPr="00E877AE">
              <w:rPr>
                <w:rFonts w:cs="Arial"/>
                <w:sz w:val="20"/>
                <w:lang w:eastAsia="en-GB"/>
              </w:rPr>
              <w:t xml:space="preserve"> The £2m budget (assumed to be TfL funding) for Harrow on the Hill Station was re-profiled to 16/17 due to the fact that we knew there wouldn’t be funding provided by TfL in 15/16. </w:t>
            </w:r>
          </w:p>
        </w:tc>
        <w:tc>
          <w:tcPr>
            <w:tcW w:w="1134" w:type="dxa"/>
            <w:noWrap/>
            <w:hideMark/>
          </w:tcPr>
          <w:p w:rsidR="00E877AE" w:rsidRPr="00E877AE" w:rsidRDefault="00E877AE" w:rsidP="00E877AE">
            <w:pPr>
              <w:rPr>
                <w:rFonts w:cs="Arial"/>
                <w:sz w:val="20"/>
                <w:lang w:eastAsia="en-GB"/>
              </w:rPr>
            </w:pPr>
            <w:r w:rsidRPr="00E877AE">
              <w:rPr>
                <w:rFonts w:cs="Arial"/>
                <w:sz w:val="20"/>
                <w:lang w:eastAsia="en-GB"/>
              </w:rPr>
              <w:t xml:space="preserve">-    2,000 </w:t>
            </w:r>
          </w:p>
        </w:tc>
      </w:tr>
    </w:tbl>
    <w:p w:rsidR="00CA49AC" w:rsidRPr="00074EF4" w:rsidRDefault="00CA49AC">
      <w:pPr>
        <w:ind w:right="304"/>
        <w:jc w:val="both"/>
        <w:rPr>
          <w:rFonts w:cs="Arial"/>
          <w:b/>
          <w:color w:val="FF0000"/>
          <w:szCs w:val="24"/>
        </w:rPr>
      </w:pPr>
    </w:p>
    <w:p w:rsidR="00CA49AC" w:rsidRPr="00074EF4" w:rsidRDefault="00B204B7" w:rsidP="003824AA">
      <w:pPr>
        <w:pStyle w:val="ListParagraph"/>
        <w:numPr>
          <w:ilvl w:val="0"/>
          <w:numId w:val="3"/>
        </w:numPr>
        <w:tabs>
          <w:tab w:val="clear" w:pos="1080"/>
          <w:tab w:val="num" w:pos="426"/>
        </w:tabs>
        <w:ind w:hanging="1080"/>
        <w:rPr>
          <w:b/>
        </w:rPr>
      </w:pPr>
      <w:r w:rsidRPr="00383AF0">
        <w:rPr>
          <w:b/>
        </w:rPr>
        <w:t>Virements</w:t>
      </w:r>
      <w:r w:rsidR="00CA49AC">
        <w:rPr>
          <w:b/>
        </w:rPr>
        <w:t xml:space="preserve"> in the Capital Programme</w:t>
      </w:r>
      <w:r w:rsidRPr="008F5B78">
        <w:rPr>
          <w:b/>
        </w:rPr>
        <w:t xml:space="preserve"> </w:t>
      </w:r>
    </w:p>
    <w:p w:rsidR="00CA49AC" w:rsidRDefault="00CA49AC" w:rsidP="00074EF4"/>
    <w:p w:rsidR="004E474A" w:rsidRDefault="00B204B7" w:rsidP="003824AA">
      <w:pPr>
        <w:ind w:left="426"/>
      </w:pPr>
      <w:r w:rsidRPr="00383AF0">
        <w:t>The following virements</w:t>
      </w:r>
      <w:r w:rsidRPr="008F5B78">
        <w:t xml:space="preserve"> have been approved under delegated authority</w:t>
      </w:r>
      <w:r w:rsidR="004E474A">
        <w:t xml:space="preserve"> by the Director of Finance and the Portfolio Holder for Finance and Major Contracts for the Schools Capital Programme</w:t>
      </w:r>
      <w:r w:rsidR="00570686">
        <w:t>.</w:t>
      </w:r>
    </w:p>
    <w:p w:rsidR="00570686" w:rsidRDefault="00570686" w:rsidP="00074EF4"/>
    <w:p w:rsidR="00B204B7" w:rsidRPr="00074EF4" w:rsidRDefault="00570686" w:rsidP="00074EF4">
      <w:pPr>
        <w:rPr>
          <w:b/>
        </w:rPr>
      </w:pPr>
      <w:r w:rsidRPr="00074EF4">
        <w:rPr>
          <w:b/>
        </w:rPr>
        <w:t>Table 7: Virements in the Capital Programme 2015/16</w:t>
      </w:r>
    </w:p>
    <w:tbl>
      <w:tblPr>
        <w:tblW w:w="7478" w:type="dxa"/>
        <w:tblInd w:w="103" w:type="dxa"/>
        <w:tblLook w:val="04A0" w:firstRow="1" w:lastRow="0" w:firstColumn="1" w:lastColumn="0" w:noHBand="0" w:noVBand="1"/>
      </w:tblPr>
      <w:tblGrid>
        <w:gridCol w:w="6553"/>
        <w:gridCol w:w="925"/>
      </w:tblGrid>
      <w:tr w:rsidR="0049773A" w:rsidRPr="0049773A" w:rsidTr="00074EF4">
        <w:trPr>
          <w:trHeight w:val="262"/>
        </w:trPr>
        <w:tc>
          <w:tcPr>
            <w:tcW w:w="65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9773A" w:rsidRPr="0049773A" w:rsidRDefault="0049773A" w:rsidP="0049773A">
            <w:pPr>
              <w:rPr>
                <w:rFonts w:cs="Arial"/>
                <w:sz w:val="20"/>
                <w:lang w:eastAsia="en-GB"/>
              </w:rPr>
            </w:pPr>
            <w:r w:rsidRPr="0049773A">
              <w:rPr>
                <w:rFonts w:cs="Arial"/>
                <w:sz w:val="20"/>
                <w:lang w:eastAsia="en-GB"/>
              </w:rPr>
              <w:t>Item</w:t>
            </w:r>
          </w:p>
        </w:tc>
        <w:tc>
          <w:tcPr>
            <w:tcW w:w="925" w:type="dxa"/>
            <w:tcBorders>
              <w:top w:val="single" w:sz="4" w:space="0" w:color="auto"/>
              <w:left w:val="nil"/>
              <w:bottom w:val="single" w:sz="4" w:space="0" w:color="auto"/>
              <w:right w:val="single" w:sz="4" w:space="0" w:color="auto"/>
            </w:tcBorders>
            <w:shd w:val="clear" w:color="000000" w:fill="FFFFFF"/>
            <w:vAlign w:val="bottom"/>
            <w:hideMark/>
          </w:tcPr>
          <w:p w:rsidR="0049773A" w:rsidRPr="0049773A" w:rsidRDefault="0049773A" w:rsidP="0049773A">
            <w:pPr>
              <w:rPr>
                <w:rFonts w:cs="Arial"/>
                <w:sz w:val="20"/>
                <w:lang w:eastAsia="en-GB"/>
              </w:rPr>
            </w:pPr>
            <w:r w:rsidRPr="0049773A">
              <w:rPr>
                <w:rFonts w:cs="Arial"/>
                <w:sz w:val="20"/>
                <w:lang w:eastAsia="en-GB"/>
              </w:rPr>
              <w:t>£000</w:t>
            </w:r>
          </w:p>
        </w:tc>
      </w:tr>
      <w:tr w:rsidR="0049773A" w:rsidRPr="0049773A" w:rsidTr="00074EF4">
        <w:trPr>
          <w:trHeight w:val="539"/>
        </w:trPr>
        <w:tc>
          <w:tcPr>
            <w:tcW w:w="6553" w:type="dxa"/>
            <w:tcBorders>
              <w:top w:val="nil"/>
              <w:left w:val="single" w:sz="4" w:space="0" w:color="auto"/>
              <w:bottom w:val="single" w:sz="4" w:space="0" w:color="auto"/>
              <w:right w:val="single" w:sz="4" w:space="0" w:color="auto"/>
            </w:tcBorders>
            <w:shd w:val="clear" w:color="000000" w:fill="FFFFFF"/>
            <w:vAlign w:val="bottom"/>
            <w:hideMark/>
          </w:tcPr>
          <w:p w:rsidR="0049773A" w:rsidRPr="0049773A" w:rsidRDefault="0049773A">
            <w:pPr>
              <w:rPr>
                <w:rFonts w:cs="Arial"/>
                <w:sz w:val="20"/>
                <w:lang w:eastAsia="en-GB"/>
              </w:rPr>
            </w:pPr>
            <w:r w:rsidRPr="0049773A">
              <w:rPr>
                <w:rFonts w:cs="Arial"/>
                <w:sz w:val="20"/>
                <w:lang w:eastAsia="en-GB"/>
              </w:rPr>
              <w:t xml:space="preserve"> </w:t>
            </w:r>
            <w:r w:rsidR="004E474A" w:rsidRPr="004E474A">
              <w:rPr>
                <w:rFonts w:cs="Arial"/>
                <w:sz w:val="20"/>
                <w:lang w:eastAsia="en-GB"/>
              </w:rPr>
              <w:t>Amalgamation works at Stanburn school anticipated to cost in the region of £200k. Transfer £163k leftover on the Stanburn SEP1 expansion programme to the amalgamation budget</w:t>
            </w:r>
          </w:p>
        </w:tc>
        <w:tc>
          <w:tcPr>
            <w:tcW w:w="925" w:type="dxa"/>
            <w:tcBorders>
              <w:top w:val="nil"/>
              <w:left w:val="nil"/>
              <w:bottom w:val="single" w:sz="4" w:space="0" w:color="auto"/>
              <w:right w:val="single" w:sz="4" w:space="0" w:color="auto"/>
            </w:tcBorders>
            <w:shd w:val="clear" w:color="000000" w:fill="FFFFFF"/>
            <w:vAlign w:val="bottom"/>
            <w:hideMark/>
          </w:tcPr>
          <w:p w:rsidR="0049773A" w:rsidRPr="0049773A" w:rsidRDefault="004E474A" w:rsidP="00074EF4">
            <w:pPr>
              <w:jc w:val="center"/>
              <w:rPr>
                <w:rFonts w:cs="Arial"/>
                <w:sz w:val="20"/>
                <w:lang w:eastAsia="en-GB"/>
              </w:rPr>
            </w:pPr>
            <w:r>
              <w:rPr>
                <w:rFonts w:cs="Arial"/>
                <w:sz w:val="20"/>
                <w:lang w:eastAsia="en-GB"/>
              </w:rPr>
              <w:t>163</w:t>
            </w:r>
          </w:p>
        </w:tc>
      </w:tr>
      <w:tr w:rsidR="0049773A" w:rsidRPr="0049773A" w:rsidTr="00074EF4">
        <w:trPr>
          <w:trHeight w:val="785"/>
        </w:trPr>
        <w:tc>
          <w:tcPr>
            <w:tcW w:w="6553" w:type="dxa"/>
            <w:tcBorders>
              <w:top w:val="nil"/>
              <w:left w:val="single" w:sz="4" w:space="0" w:color="auto"/>
              <w:bottom w:val="single" w:sz="4" w:space="0" w:color="auto"/>
              <w:right w:val="single" w:sz="4" w:space="0" w:color="auto"/>
            </w:tcBorders>
            <w:shd w:val="clear" w:color="000000" w:fill="FFFFFF"/>
            <w:vAlign w:val="bottom"/>
            <w:hideMark/>
          </w:tcPr>
          <w:p w:rsidR="0049773A" w:rsidRPr="0049773A" w:rsidRDefault="004E474A">
            <w:pPr>
              <w:rPr>
                <w:rFonts w:cs="Arial"/>
                <w:sz w:val="20"/>
                <w:lang w:eastAsia="en-GB"/>
              </w:rPr>
            </w:pPr>
            <w:r>
              <w:rPr>
                <w:rFonts w:cs="Arial"/>
                <w:sz w:val="20"/>
                <w:lang w:eastAsia="en-GB"/>
              </w:rPr>
              <w:t>Amalgamation works at Stanburn school, t</w:t>
            </w:r>
            <w:r w:rsidRPr="004E474A">
              <w:rPr>
                <w:rFonts w:cs="Arial"/>
                <w:sz w:val="20"/>
                <w:lang w:eastAsia="en-GB"/>
              </w:rPr>
              <w:t>he remaining shortfall of £37k to be vired from the capital maintenance line of the capital programme</w:t>
            </w:r>
          </w:p>
        </w:tc>
        <w:tc>
          <w:tcPr>
            <w:tcW w:w="925" w:type="dxa"/>
            <w:tcBorders>
              <w:top w:val="nil"/>
              <w:left w:val="nil"/>
              <w:bottom w:val="single" w:sz="4" w:space="0" w:color="auto"/>
              <w:right w:val="single" w:sz="4" w:space="0" w:color="auto"/>
            </w:tcBorders>
            <w:shd w:val="clear" w:color="000000" w:fill="FFFFFF"/>
            <w:vAlign w:val="bottom"/>
            <w:hideMark/>
          </w:tcPr>
          <w:p w:rsidR="0049773A" w:rsidRPr="0049773A" w:rsidRDefault="004E474A" w:rsidP="00074EF4">
            <w:pPr>
              <w:jc w:val="center"/>
              <w:rPr>
                <w:rFonts w:cs="Arial"/>
                <w:sz w:val="20"/>
                <w:lang w:eastAsia="en-GB"/>
              </w:rPr>
            </w:pPr>
            <w:r>
              <w:rPr>
                <w:rFonts w:cs="Arial"/>
                <w:sz w:val="20"/>
                <w:lang w:eastAsia="en-GB"/>
              </w:rPr>
              <w:t>37</w:t>
            </w:r>
          </w:p>
        </w:tc>
      </w:tr>
      <w:tr w:rsidR="0049773A" w:rsidRPr="0049773A" w:rsidTr="00074EF4">
        <w:trPr>
          <w:trHeight w:val="785"/>
        </w:trPr>
        <w:tc>
          <w:tcPr>
            <w:tcW w:w="6553" w:type="dxa"/>
            <w:tcBorders>
              <w:top w:val="nil"/>
              <w:left w:val="single" w:sz="4" w:space="0" w:color="auto"/>
              <w:bottom w:val="single" w:sz="4" w:space="0" w:color="auto"/>
              <w:right w:val="single" w:sz="4" w:space="0" w:color="auto"/>
            </w:tcBorders>
            <w:shd w:val="clear" w:color="000000" w:fill="FFFFFF"/>
            <w:vAlign w:val="bottom"/>
          </w:tcPr>
          <w:p w:rsidR="0049773A" w:rsidRPr="0049773A" w:rsidRDefault="004E474A">
            <w:pPr>
              <w:rPr>
                <w:rFonts w:cs="Arial"/>
                <w:sz w:val="20"/>
                <w:lang w:eastAsia="en-GB"/>
              </w:rPr>
            </w:pPr>
            <w:r w:rsidRPr="004E474A">
              <w:rPr>
                <w:rFonts w:cs="Arial"/>
                <w:sz w:val="20"/>
                <w:lang w:eastAsia="en-GB"/>
              </w:rPr>
              <w:t>Weald Rise school. Being rebuilt by the EFA under the Priority Schools Building Programme and as part of this the Council has requested that the school is rebuilt by an expanded 1FE. Since the EFA do not fund expansions, Harrow is meeting the additional cost. The original estimated cost was £2.189m and this has been built into the existing capital programme which went to Cabinet in September 2015. The final costs have come out higher due to an increase in contractor costs. The increase is £87k. A virement is approved to vire the additional £87k from the currently uncommitted SEP4 line in the capital programme.</w:t>
            </w:r>
          </w:p>
        </w:tc>
        <w:tc>
          <w:tcPr>
            <w:tcW w:w="925" w:type="dxa"/>
            <w:tcBorders>
              <w:top w:val="nil"/>
              <w:left w:val="nil"/>
              <w:bottom w:val="single" w:sz="4" w:space="0" w:color="auto"/>
              <w:right w:val="single" w:sz="4" w:space="0" w:color="auto"/>
            </w:tcBorders>
            <w:shd w:val="clear" w:color="000000" w:fill="FFFFFF"/>
            <w:vAlign w:val="bottom"/>
            <w:hideMark/>
          </w:tcPr>
          <w:p w:rsidR="0049773A" w:rsidRPr="0049773A" w:rsidRDefault="004E474A" w:rsidP="00074EF4">
            <w:pPr>
              <w:jc w:val="center"/>
              <w:rPr>
                <w:rFonts w:cs="Arial"/>
                <w:sz w:val="20"/>
                <w:lang w:eastAsia="en-GB"/>
              </w:rPr>
            </w:pPr>
            <w:r>
              <w:rPr>
                <w:rFonts w:cs="Arial"/>
                <w:sz w:val="20"/>
                <w:lang w:eastAsia="en-GB"/>
              </w:rPr>
              <w:t>87</w:t>
            </w:r>
          </w:p>
        </w:tc>
      </w:tr>
    </w:tbl>
    <w:p w:rsidR="00570686" w:rsidRDefault="00570686" w:rsidP="00074EF4">
      <w:pPr>
        <w:spacing w:after="240"/>
        <w:ind w:left="142" w:right="304"/>
        <w:jc w:val="both"/>
        <w:rPr>
          <w:rFonts w:cs="Arial"/>
          <w:color w:val="FF0000"/>
          <w:szCs w:val="24"/>
        </w:rPr>
      </w:pPr>
    </w:p>
    <w:p w:rsidR="00570686" w:rsidRPr="008F5B78" w:rsidRDefault="00570686" w:rsidP="003824AA">
      <w:pPr>
        <w:pStyle w:val="ListParagraph"/>
        <w:numPr>
          <w:ilvl w:val="0"/>
          <w:numId w:val="3"/>
        </w:numPr>
        <w:tabs>
          <w:tab w:val="clear" w:pos="1080"/>
          <w:tab w:val="num" w:pos="567"/>
        </w:tabs>
        <w:ind w:left="567" w:hanging="567"/>
        <w:rPr>
          <w:rFonts w:eastAsia="Calibri" w:cs="Arial"/>
          <w:szCs w:val="24"/>
        </w:rPr>
      </w:pPr>
      <w:r w:rsidRPr="00383AF0">
        <w:rPr>
          <w:rFonts w:eastAsia="Calibri" w:cs="Arial"/>
          <w:szCs w:val="24"/>
        </w:rPr>
        <w:lastRenderedPageBreak/>
        <w:t xml:space="preserve">As part of the outturn </w:t>
      </w:r>
      <w:r w:rsidR="002E06B3">
        <w:rPr>
          <w:rFonts w:eastAsia="Calibri" w:cs="Arial"/>
          <w:szCs w:val="24"/>
        </w:rPr>
        <w:t xml:space="preserve">3 </w:t>
      </w:r>
      <w:r w:rsidRPr="00383AF0">
        <w:rPr>
          <w:rFonts w:eastAsia="Calibri" w:cs="Arial"/>
          <w:szCs w:val="24"/>
        </w:rPr>
        <w:t xml:space="preserve">further </w:t>
      </w:r>
      <w:r w:rsidR="000E78B9">
        <w:rPr>
          <w:rFonts w:eastAsia="Calibri" w:cs="Arial"/>
          <w:szCs w:val="24"/>
        </w:rPr>
        <w:t>virements are</w:t>
      </w:r>
      <w:r w:rsidR="00502347">
        <w:rPr>
          <w:rFonts w:eastAsia="Calibri" w:cs="Arial"/>
          <w:szCs w:val="24"/>
        </w:rPr>
        <w:t xml:space="preserve"> </w:t>
      </w:r>
      <w:r w:rsidR="002E06B3">
        <w:rPr>
          <w:rFonts w:eastAsia="Calibri" w:cs="Arial"/>
          <w:szCs w:val="24"/>
        </w:rPr>
        <w:t xml:space="preserve">requested </w:t>
      </w:r>
      <w:r w:rsidRPr="00383AF0">
        <w:rPr>
          <w:rFonts w:eastAsia="Calibri" w:cs="Arial"/>
          <w:szCs w:val="24"/>
        </w:rPr>
        <w:t xml:space="preserve">to adjust </w:t>
      </w:r>
      <w:r w:rsidR="002E06B3">
        <w:rPr>
          <w:rFonts w:eastAsia="Calibri" w:cs="Arial"/>
          <w:szCs w:val="24"/>
        </w:rPr>
        <w:t xml:space="preserve">the </w:t>
      </w:r>
      <w:r w:rsidRPr="00383AF0">
        <w:rPr>
          <w:rFonts w:eastAsia="Calibri" w:cs="Arial"/>
          <w:szCs w:val="24"/>
        </w:rPr>
        <w:t xml:space="preserve">slippage </w:t>
      </w:r>
      <w:r w:rsidR="002E06B3">
        <w:rPr>
          <w:rFonts w:eastAsia="Calibri" w:cs="Arial"/>
          <w:szCs w:val="24"/>
        </w:rPr>
        <w:t xml:space="preserve">carried </w:t>
      </w:r>
      <w:r w:rsidRPr="00383AF0">
        <w:rPr>
          <w:rFonts w:eastAsia="Calibri" w:cs="Arial"/>
          <w:szCs w:val="24"/>
        </w:rPr>
        <w:t xml:space="preserve">into 2016-17 </w:t>
      </w:r>
      <w:r w:rsidR="002E06B3">
        <w:rPr>
          <w:rFonts w:eastAsia="Calibri" w:cs="Arial"/>
          <w:szCs w:val="24"/>
        </w:rPr>
        <w:t>a</w:t>
      </w:r>
      <w:r w:rsidRPr="00383AF0">
        <w:rPr>
          <w:rFonts w:eastAsia="Calibri" w:cs="Arial"/>
          <w:szCs w:val="24"/>
        </w:rPr>
        <w:t>s follows:</w:t>
      </w:r>
    </w:p>
    <w:p w:rsidR="00570686" w:rsidRPr="00570686" w:rsidRDefault="00570686" w:rsidP="00570686">
      <w:pPr>
        <w:ind w:left="360"/>
        <w:rPr>
          <w:rFonts w:eastAsia="Calibri" w:cs="Arial"/>
          <w:szCs w:val="24"/>
        </w:rPr>
      </w:pPr>
    </w:p>
    <w:p w:rsidR="00570686" w:rsidRPr="00570686" w:rsidRDefault="002E06B3" w:rsidP="00570686">
      <w:pPr>
        <w:numPr>
          <w:ilvl w:val="0"/>
          <w:numId w:val="49"/>
        </w:numPr>
        <w:suppressAutoHyphens/>
        <w:rPr>
          <w:rFonts w:eastAsia="Calibri" w:cs="Arial"/>
          <w:szCs w:val="24"/>
        </w:rPr>
      </w:pPr>
      <w:r>
        <w:rPr>
          <w:rFonts w:eastAsia="Calibri" w:cs="Arial"/>
          <w:szCs w:val="24"/>
        </w:rPr>
        <w:t>Transfer</w:t>
      </w:r>
      <w:r w:rsidR="00570686" w:rsidRPr="00570686">
        <w:rPr>
          <w:rFonts w:eastAsia="Calibri" w:cs="Arial"/>
          <w:szCs w:val="24"/>
        </w:rPr>
        <w:t xml:space="preserve"> £41,534 from capital maintenance to fund minor project overspends in respect of final accounts for :</w:t>
      </w:r>
    </w:p>
    <w:p w:rsidR="00570686" w:rsidRPr="00570686" w:rsidRDefault="00570686" w:rsidP="00570686">
      <w:pPr>
        <w:numPr>
          <w:ilvl w:val="1"/>
          <w:numId w:val="49"/>
        </w:numPr>
        <w:suppressAutoHyphens/>
        <w:rPr>
          <w:rFonts w:eastAsia="Calibri" w:cs="Arial"/>
          <w:szCs w:val="24"/>
        </w:rPr>
      </w:pPr>
      <w:r w:rsidRPr="00570686">
        <w:rPr>
          <w:rFonts w:eastAsia="Calibri" w:cs="Arial"/>
          <w:szCs w:val="24"/>
        </w:rPr>
        <w:t>SEN £32,460</w:t>
      </w:r>
    </w:p>
    <w:p w:rsidR="00570686" w:rsidRDefault="00570686" w:rsidP="00570686">
      <w:pPr>
        <w:numPr>
          <w:ilvl w:val="1"/>
          <w:numId w:val="49"/>
        </w:numPr>
        <w:suppressAutoHyphens/>
        <w:rPr>
          <w:rFonts w:eastAsia="Calibri" w:cs="Arial"/>
          <w:szCs w:val="24"/>
        </w:rPr>
      </w:pPr>
      <w:r w:rsidRPr="00570686">
        <w:rPr>
          <w:rFonts w:eastAsia="Calibri" w:cs="Arial"/>
          <w:szCs w:val="24"/>
        </w:rPr>
        <w:t xml:space="preserve">SEP1 £9,074 </w:t>
      </w:r>
    </w:p>
    <w:p w:rsidR="000E78B9" w:rsidRDefault="000E78B9" w:rsidP="003824AA">
      <w:pPr>
        <w:suppressAutoHyphens/>
        <w:ind w:left="1440"/>
        <w:rPr>
          <w:rFonts w:eastAsia="Calibri" w:cs="Arial"/>
          <w:szCs w:val="24"/>
        </w:rPr>
      </w:pPr>
    </w:p>
    <w:p w:rsidR="00502347" w:rsidRPr="003824AA" w:rsidRDefault="00B70502" w:rsidP="003824AA">
      <w:pPr>
        <w:numPr>
          <w:ilvl w:val="0"/>
          <w:numId w:val="49"/>
        </w:numPr>
        <w:suppressAutoHyphens/>
        <w:rPr>
          <w:rFonts w:eastAsia="Calibri" w:cs="Arial"/>
          <w:szCs w:val="24"/>
        </w:rPr>
      </w:pPr>
      <w:r>
        <w:t>Move the remaining budgets from the currently uncommitted SEP4 primary school expansion programme</w:t>
      </w:r>
      <w:r w:rsidR="000E78B9">
        <w:t xml:space="preserve"> (as this is anticipated to be delivered from the Free School programme), into </w:t>
      </w:r>
      <w:r>
        <w:t>SEP2</w:t>
      </w:r>
      <w:r w:rsidR="000E78B9">
        <w:t xml:space="preserve"> (which includes Secondary and SEN budgets), in order</w:t>
      </w:r>
      <w:r>
        <w:t xml:space="preserve"> to fund future spending requirements</w:t>
      </w:r>
      <w:r w:rsidR="00502347">
        <w:t>.</w:t>
      </w:r>
    </w:p>
    <w:p w:rsidR="00864EF6" w:rsidRDefault="00864EF6" w:rsidP="003824AA">
      <w:pPr>
        <w:suppressAutoHyphens/>
        <w:ind w:left="360"/>
        <w:rPr>
          <w:rFonts w:eastAsia="Calibri" w:cs="Arial"/>
          <w:szCs w:val="24"/>
        </w:rPr>
      </w:pPr>
    </w:p>
    <w:p w:rsidR="00864EF6" w:rsidRPr="003824AA" w:rsidRDefault="00864EF6" w:rsidP="003824AA">
      <w:pPr>
        <w:suppressAutoHyphens/>
        <w:ind w:left="360"/>
        <w:rPr>
          <w:rFonts w:eastAsia="Calibri" w:cs="Arial"/>
          <w:szCs w:val="24"/>
        </w:rPr>
      </w:pPr>
    </w:p>
    <w:p w:rsidR="00713DCF" w:rsidRPr="003824AA" w:rsidRDefault="00502347" w:rsidP="003824AA">
      <w:pPr>
        <w:pStyle w:val="ListParagraph"/>
        <w:numPr>
          <w:ilvl w:val="0"/>
          <w:numId w:val="3"/>
        </w:numPr>
        <w:tabs>
          <w:tab w:val="clear" w:pos="1080"/>
          <w:tab w:val="num" w:pos="709"/>
        </w:tabs>
        <w:suppressAutoHyphens/>
        <w:ind w:hanging="1080"/>
        <w:rPr>
          <w:rFonts w:eastAsia="Calibri" w:cs="Arial"/>
          <w:b/>
          <w:szCs w:val="24"/>
        </w:rPr>
      </w:pPr>
      <w:r w:rsidRPr="003824AA">
        <w:rPr>
          <w:b/>
        </w:rPr>
        <w:t>Addition to 2016/17 Capital Programme</w:t>
      </w:r>
    </w:p>
    <w:p w:rsidR="00713DCF" w:rsidRDefault="00713DCF" w:rsidP="003824AA">
      <w:pPr>
        <w:pStyle w:val="ListParagraph"/>
        <w:suppressAutoHyphens/>
        <w:ind w:left="1080"/>
        <w:rPr>
          <w:b/>
        </w:rPr>
      </w:pPr>
    </w:p>
    <w:p w:rsidR="00502347" w:rsidRPr="003824AA" w:rsidRDefault="00713DCF" w:rsidP="003824AA">
      <w:pPr>
        <w:pStyle w:val="ListParagraph"/>
        <w:suppressAutoHyphens/>
        <w:ind w:left="1080"/>
        <w:rPr>
          <w:rFonts w:eastAsia="Calibri" w:cs="Arial"/>
          <w:b/>
          <w:szCs w:val="24"/>
        </w:rPr>
      </w:pPr>
      <w:r>
        <w:rPr>
          <w:b/>
        </w:rPr>
        <w:t>Table 8: Additions to the Capital Programme</w:t>
      </w:r>
    </w:p>
    <w:tbl>
      <w:tblPr>
        <w:tblpPr w:leftFromText="180" w:rightFromText="180" w:vertAnchor="text" w:horzAnchor="page" w:tblpX="1708" w:tblpY="179"/>
        <w:tblW w:w="5820" w:type="dxa"/>
        <w:tblLook w:val="04A0" w:firstRow="1" w:lastRow="0" w:firstColumn="1" w:lastColumn="0" w:noHBand="0" w:noVBand="1"/>
      </w:tblPr>
      <w:tblGrid>
        <w:gridCol w:w="5100"/>
        <w:gridCol w:w="720"/>
      </w:tblGrid>
      <w:tr w:rsidR="00502347" w:rsidRPr="00502347" w:rsidTr="00502347">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2347" w:rsidRPr="00502347" w:rsidRDefault="00502347" w:rsidP="00502347">
            <w:pPr>
              <w:rPr>
                <w:rFonts w:cs="Arial"/>
                <w:sz w:val="20"/>
                <w:lang w:eastAsia="en-GB"/>
              </w:rPr>
            </w:pPr>
            <w:r w:rsidRPr="00502347">
              <w:rPr>
                <w:rFonts w:cs="Arial"/>
                <w:sz w:val="20"/>
                <w:lang w:eastAsia="en-GB"/>
              </w:rPr>
              <w:t>Item</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502347" w:rsidRPr="00502347" w:rsidRDefault="00502347" w:rsidP="00502347">
            <w:pPr>
              <w:rPr>
                <w:rFonts w:cs="Arial"/>
                <w:sz w:val="20"/>
                <w:lang w:eastAsia="en-GB"/>
              </w:rPr>
            </w:pPr>
            <w:r w:rsidRPr="00502347">
              <w:rPr>
                <w:rFonts w:cs="Arial"/>
                <w:sz w:val="20"/>
                <w:lang w:eastAsia="en-GB"/>
              </w:rPr>
              <w:t>£000</w:t>
            </w:r>
          </w:p>
        </w:tc>
      </w:tr>
      <w:tr w:rsidR="00502347" w:rsidRPr="00502347" w:rsidTr="00502347">
        <w:trPr>
          <w:trHeight w:val="525"/>
        </w:trPr>
        <w:tc>
          <w:tcPr>
            <w:tcW w:w="5100" w:type="dxa"/>
            <w:tcBorders>
              <w:top w:val="nil"/>
              <w:left w:val="single" w:sz="4" w:space="0" w:color="auto"/>
              <w:bottom w:val="single" w:sz="4" w:space="0" w:color="auto"/>
              <w:right w:val="single" w:sz="4" w:space="0" w:color="auto"/>
            </w:tcBorders>
            <w:shd w:val="clear" w:color="000000" w:fill="FFFFFF"/>
            <w:vAlign w:val="bottom"/>
            <w:hideMark/>
          </w:tcPr>
          <w:p w:rsidR="00502347" w:rsidRPr="00502347" w:rsidRDefault="00502347" w:rsidP="00502347">
            <w:pPr>
              <w:rPr>
                <w:rFonts w:cs="Arial"/>
                <w:sz w:val="20"/>
                <w:lang w:eastAsia="en-GB"/>
              </w:rPr>
            </w:pPr>
            <w:r w:rsidRPr="00502347">
              <w:rPr>
                <w:rFonts w:cs="Arial"/>
                <w:sz w:val="20"/>
                <w:lang w:eastAsia="en-GB"/>
              </w:rPr>
              <w:t>Section 106 funding  to improve traffic flows on the highway surrounding Kodak site</w:t>
            </w:r>
          </w:p>
        </w:tc>
        <w:tc>
          <w:tcPr>
            <w:tcW w:w="720" w:type="dxa"/>
            <w:tcBorders>
              <w:top w:val="nil"/>
              <w:left w:val="nil"/>
              <w:bottom w:val="single" w:sz="4" w:space="0" w:color="auto"/>
              <w:right w:val="single" w:sz="4" w:space="0" w:color="auto"/>
            </w:tcBorders>
            <w:shd w:val="clear" w:color="000000" w:fill="FFFFFF"/>
            <w:vAlign w:val="bottom"/>
            <w:hideMark/>
          </w:tcPr>
          <w:p w:rsidR="00502347" w:rsidRPr="00502347" w:rsidRDefault="00502347" w:rsidP="00502347">
            <w:pPr>
              <w:jc w:val="right"/>
              <w:rPr>
                <w:rFonts w:cs="Arial"/>
                <w:sz w:val="20"/>
                <w:lang w:eastAsia="en-GB"/>
              </w:rPr>
            </w:pPr>
            <w:r w:rsidRPr="00502347">
              <w:rPr>
                <w:rFonts w:cs="Arial"/>
                <w:sz w:val="20"/>
                <w:lang w:eastAsia="en-GB"/>
              </w:rPr>
              <w:t>50</w:t>
            </w:r>
          </w:p>
        </w:tc>
      </w:tr>
      <w:tr w:rsidR="00502347" w:rsidRPr="00502347" w:rsidTr="00502347">
        <w:trPr>
          <w:trHeight w:val="510"/>
        </w:trPr>
        <w:tc>
          <w:tcPr>
            <w:tcW w:w="5100" w:type="dxa"/>
            <w:tcBorders>
              <w:top w:val="nil"/>
              <w:left w:val="single" w:sz="4" w:space="0" w:color="auto"/>
              <w:bottom w:val="single" w:sz="4" w:space="0" w:color="auto"/>
              <w:right w:val="single" w:sz="4" w:space="0" w:color="auto"/>
            </w:tcBorders>
            <w:shd w:val="clear" w:color="000000" w:fill="FFFFFF"/>
            <w:vAlign w:val="bottom"/>
            <w:hideMark/>
          </w:tcPr>
          <w:p w:rsidR="00502347" w:rsidRPr="00502347" w:rsidRDefault="00502347" w:rsidP="00502347">
            <w:pPr>
              <w:rPr>
                <w:rFonts w:cs="Arial"/>
                <w:sz w:val="20"/>
                <w:lang w:eastAsia="en-GB"/>
              </w:rPr>
            </w:pPr>
            <w:r w:rsidRPr="00502347">
              <w:rPr>
                <w:rFonts w:cs="Arial"/>
                <w:sz w:val="20"/>
                <w:lang w:eastAsia="en-GB"/>
              </w:rPr>
              <w:t>Section 106 (Bentley Priory)</w:t>
            </w:r>
          </w:p>
        </w:tc>
        <w:tc>
          <w:tcPr>
            <w:tcW w:w="720" w:type="dxa"/>
            <w:tcBorders>
              <w:top w:val="nil"/>
              <w:left w:val="nil"/>
              <w:bottom w:val="single" w:sz="4" w:space="0" w:color="auto"/>
              <w:right w:val="single" w:sz="4" w:space="0" w:color="auto"/>
            </w:tcBorders>
            <w:shd w:val="clear" w:color="000000" w:fill="FFFFFF"/>
            <w:vAlign w:val="bottom"/>
            <w:hideMark/>
          </w:tcPr>
          <w:p w:rsidR="00502347" w:rsidRPr="00502347" w:rsidRDefault="00502347" w:rsidP="00502347">
            <w:pPr>
              <w:jc w:val="right"/>
              <w:rPr>
                <w:rFonts w:cs="Arial"/>
                <w:sz w:val="20"/>
                <w:lang w:eastAsia="en-GB"/>
              </w:rPr>
            </w:pPr>
            <w:r w:rsidRPr="00502347">
              <w:rPr>
                <w:rFonts w:cs="Arial"/>
                <w:sz w:val="20"/>
                <w:lang w:eastAsia="en-GB"/>
              </w:rPr>
              <w:t>100</w:t>
            </w:r>
          </w:p>
        </w:tc>
      </w:tr>
    </w:tbl>
    <w:p w:rsidR="00502347" w:rsidRDefault="00B70502" w:rsidP="00502347">
      <w:pPr>
        <w:suppressAutoHyphens/>
        <w:ind w:left="360"/>
        <w:rPr>
          <w:rFonts w:eastAsia="Calibri" w:cs="Arial"/>
          <w:szCs w:val="24"/>
        </w:rPr>
      </w:pPr>
      <w:r>
        <w:t xml:space="preserve"> </w:t>
      </w:r>
    </w:p>
    <w:p w:rsidR="00DE26AC" w:rsidRDefault="00DE26AC" w:rsidP="003824AA">
      <w:pPr>
        <w:suppressAutoHyphens/>
        <w:ind w:left="360"/>
        <w:rPr>
          <w:rFonts w:eastAsia="Calibri" w:cs="Arial"/>
          <w:szCs w:val="24"/>
        </w:rPr>
      </w:pPr>
    </w:p>
    <w:p w:rsidR="00DE26AC" w:rsidRPr="00570686" w:rsidRDefault="00DE26AC" w:rsidP="003824AA">
      <w:pPr>
        <w:suppressAutoHyphens/>
        <w:ind w:left="1440"/>
        <w:rPr>
          <w:rFonts w:eastAsia="Calibri" w:cs="Arial"/>
          <w:szCs w:val="24"/>
        </w:rPr>
      </w:pPr>
    </w:p>
    <w:p w:rsidR="00EA6443" w:rsidRDefault="00EA6443" w:rsidP="00145C62">
      <w:pPr>
        <w:ind w:left="14" w:right="304"/>
        <w:jc w:val="both"/>
        <w:rPr>
          <w:rFonts w:cs="Arial"/>
          <w:color w:val="FF0000"/>
          <w:szCs w:val="24"/>
        </w:rPr>
      </w:pPr>
    </w:p>
    <w:p w:rsidR="00502347" w:rsidRPr="00074EF4" w:rsidRDefault="00502347" w:rsidP="00145C62">
      <w:pPr>
        <w:ind w:left="14" w:right="304"/>
        <w:jc w:val="both"/>
        <w:rPr>
          <w:rFonts w:cs="Arial"/>
          <w:color w:val="FF0000"/>
          <w:szCs w:val="24"/>
        </w:rPr>
      </w:pPr>
    </w:p>
    <w:p w:rsidR="00502347" w:rsidRDefault="00502347" w:rsidP="00074EF4">
      <w:pPr>
        <w:tabs>
          <w:tab w:val="left" w:pos="525"/>
          <w:tab w:val="left" w:pos="567"/>
        </w:tabs>
        <w:ind w:left="14" w:right="304"/>
        <w:jc w:val="both"/>
        <w:rPr>
          <w:rFonts w:cs="Arial"/>
          <w:b/>
          <w:szCs w:val="24"/>
        </w:rPr>
      </w:pPr>
    </w:p>
    <w:p w:rsidR="00502347" w:rsidRDefault="00502347" w:rsidP="00074EF4">
      <w:pPr>
        <w:tabs>
          <w:tab w:val="left" w:pos="525"/>
          <w:tab w:val="left" w:pos="567"/>
        </w:tabs>
        <w:ind w:left="14" w:right="304"/>
        <w:jc w:val="both"/>
        <w:rPr>
          <w:rFonts w:cs="Arial"/>
          <w:b/>
          <w:szCs w:val="24"/>
        </w:rPr>
      </w:pPr>
    </w:p>
    <w:p w:rsidR="00502347" w:rsidRDefault="00502347" w:rsidP="003824AA">
      <w:pPr>
        <w:tabs>
          <w:tab w:val="left" w:pos="525"/>
          <w:tab w:val="left" w:pos="567"/>
        </w:tabs>
        <w:ind w:left="525" w:right="304"/>
        <w:jc w:val="both"/>
        <w:rPr>
          <w:rFonts w:cs="Arial"/>
          <w:iCs/>
        </w:rPr>
      </w:pPr>
      <w:r>
        <w:rPr>
          <w:color w:val="0000FF"/>
        </w:rPr>
        <w:tab/>
        <w:t xml:space="preserve"> </w:t>
      </w:r>
      <w:r w:rsidRPr="003824AA">
        <w:rPr>
          <w:rFonts w:cs="Arial"/>
          <w:iCs/>
        </w:rPr>
        <w:t xml:space="preserve">A proportion of S106 funding for </w:t>
      </w:r>
      <w:r w:rsidR="00395409">
        <w:rPr>
          <w:rFonts w:cs="Arial"/>
          <w:iCs/>
        </w:rPr>
        <w:t xml:space="preserve">the </w:t>
      </w:r>
      <w:r w:rsidRPr="003824AA">
        <w:rPr>
          <w:rFonts w:cs="Arial"/>
          <w:iCs/>
        </w:rPr>
        <w:t xml:space="preserve">Kodak site (Phase 1B) has been received from the developer recently. £50k is allocated for the improvement of traffic flows on the highways surrounding the area. It is anticipated that this work will be carried out during </w:t>
      </w:r>
      <w:r w:rsidR="00395409">
        <w:rPr>
          <w:rFonts w:cs="Arial"/>
          <w:iCs/>
        </w:rPr>
        <w:t>20</w:t>
      </w:r>
      <w:r w:rsidRPr="003824AA">
        <w:rPr>
          <w:rFonts w:cs="Arial"/>
          <w:iCs/>
        </w:rPr>
        <w:t>16/17 and therefore it is requested that the capital budget (all S106 funded) under Highways is increased by £50k.</w:t>
      </w:r>
    </w:p>
    <w:p w:rsidR="00395409" w:rsidRPr="003824AA" w:rsidRDefault="00395409" w:rsidP="003824AA">
      <w:pPr>
        <w:tabs>
          <w:tab w:val="left" w:pos="525"/>
          <w:tab w:val="left" w:pos="567"/>
        </w:tabs>
        <w:ind w:left="525" w:right="304"/>
        <w:jc w:val="both"/>
        <w:rPr>
          <w:rFonts w:cs="Arial"/>
          <w:iCs/>
        </w:rPr>
      </w:pPr>
    </w:p>
    <w:p w:rsidR="00502347" w:rsidRPr="003824AA" w:rsidRDefault="00502347" w:rsidP="003824AA">
      <w:pPr>
        <w:tabs>
          <w:tab w:val="left" w:pos="525"/>
          <w:tab w:val="left" w:pos="567"/>
        </w:tabs>
        <w:ind w:left="525" w:right="304"/>
        <w:jc w:val="both"/>
        <w:rPr>
          <w:rFonts w:cs="Arial"/>
          <w:iCs/>
        </w:rPr>
      </w:pPr>
      <w:r w:rsidRPr="003824AA">
        <w:rPr>
          <w:rFonts w:cs="Arial"/>
          <w:iCs/>
        </w:rPr>
        <w:t xml:space="preserve">In addition, S106 funding (Bentley Priory) of £100k has now been released to refurbish the derelict former council depot to provide a weatherproof and secured building with facilities suitable for school visits to the site. It is anticipated that the project will be complete in 18 months. The funding profile over </w:t>
      </w:r>
      <w:r w:rsidR="00395409">
        <w:rPr>
          <w:rFonts w:cs="Arial"/>
          <w:iCs/>
        </w:rPr>
        <w:t>20</w:t>
      </w:r>
      <w:r w:rsidRPr="003824AA">
        <w:rPr>
          <w:rFonts w:cs="Arial"/>
          <w:iCs/>
        </w:rPr>
        <w:t xml:space="preserve">16/17 and </w:t>
      </w:r>
      <w:r w:rsidR="00395409">
        <w:rPr>
          <w:rFonts w:cs="Arial"/>
          <w:iCs/>
        </w:rPr>
        <w:t>20</w:t>
      </w:r>
      <w:r w:rsidRPr="003824AA">
        <w:rPr>
          <w:rFonts w:cs="Arial"/>
          <w:iCs/>
        </w:rPr>
        <w:t xml:space="preserve">17/18 will be confirmed in accordance with the project timetable and key milestones. It is therefore requested </w:t>
      </w:r>
      <w:r w:rsidR="00395409">
        <w:rPr>
          <w:rFonts w:cs="Arial"/>
          <w:iCs/>
        </w:rPr>
        <w:t xml:space="preserve">at this stage </w:t>
      </w:r>
      <w:r w:rsidRPr="003824AA">
        <w:rPr>
          <w:rFonts w:cs="Arial"/>
          <w:iCs/>
        </w:rPr>
        <w:t>that the capital budget (all S106 funded) under Green Grid is increased by £100</w:t>
      </w:r>
      <w:r w:rsidR="00346902">
        <w:rPr>
          <w:rFonts w:cs="Arial"/>
          <w:iCs/>
        </w:rPr>
        <w:t>k</w:t>
      </w:r>
      <w:r w:rsidR="00395409">
        <w:rPr>
          <w:rFonts w:cs="Arial"/>
          <w:iCs/>
        </w:rPr>
        <w:t xml:space="preserve"> in 2016/17</w:t>
      </w:r>
      <w:r w:rsidRPr="003824AA">
        <w:rPr>
          <w:rFonts w:cs="Arial"/>
          <w:iCs/>
        </w:rPr>
        <w:t>.</w:t>
      </w:r>
    </w:p>
    <w:p w:rsidR="00502347" w:rsidRDefault="00502347" w:rsidP="00074EF4">
      <w:pPr>
        <w:tabs>
          <w:tab w:val="left" w:pos="525"/>
          <w:tab w:val="left" w:pos="567"/>
        </w:tabs>
        <w:ind w:left="14" w:right="304"/>
        <w:jc w:val="both"/>
        <w:rPr>
          <w:rFonts w:cs="Arial"/>
          <w:b/>
          <w:szCs w:val="24"/>
        </w:rPr>
      </w:pPr>
    </w:p>
    <w:p w:rsidR="00502347" w:rsidRDefault="00502347" w:rsidP="00074EF4">
      <w:pPr>
        <w:tabs>
          <w:tab w:val="left" w:pos="525"/>
          <w:tab w:val="left" w:pos="567"/>
        </w:tabs>
        <w:ind w:left="14" w:right="304"/>
        <w:jc w:val="both"/>
        <w:rPr>
          <w:rFonts w:cs="Arial"/>
          <w:b/>
          <w:szCs w:val="24"/>
        </w:rPr>
      </w:pPr>
    </w:p>
    <w:p w:rsidR="00E22AAE" w:rsidRDefault="00C44AF1" w:rsidP="00074EF4">
      <w:pPr>
        <w:tabs>
          <w:tab w:val="left" w:pos="525"/>
          <w:tab w:val="left" w:pos="567"/>
        </w:tabs>
        <w:ind w:left="14" w:right="304"/>
        <w:jc w:val="both"/>
        <w:rPr>
          <w:rFonts w:cs="Arial"/>
          <w:b/>
          <w:szCs w:val="24"/>
        </w:rPr>
      </w:pPr>
      <w:r>
        <w:rPr>
          <w:rFonts w:cs="Arial"/>
          <w:b/>
          <w:szCs w:val="24"/>
        </w:rPr>
        <w:tab/>
      </w:r>
      <w:r w:rsidR="00E22AAE">
        <w:rPr>
          <w:rFonts w:cs="Arial"/>
          <w:b/>
          <w:szCs w:val="24"/>
        </w:rPr>
        <w:t>DIRECTORATE PERFORMANCE ON CAPITAL</w:t>
      </w:r>
      <w:r w:rsidR="00E22AAE">
        <w:rPr>
          <w:rFonts w:cs="Arial"/>
          <w:b/>
          <w:szCs w:val="24"/>
        </w:rPr>
        <w:tab/>
      </w:r>
    </w:p>
    <w:p w:rsidR="00E22AAE" w:rsidRPr="00B204B7" w:rsidRDefault="00E22AAE" w:rsidP="00B204B7">
      <w:pPr>
        <w:ind w:left="14" w:right="304"/>
        <w:jc w:val="both"/>
        <w:rPr>
          <w:rFonts w:cs="Arial"/>
          <w:b/>
          <w:szCs w:val="24"/>
        </w:rPr>
      </w:pPr>
    </w:p>
    <w:p w:rsidR="000008F4" w:rsidRPr="00074EF4" w:rsidRDefault="00E22AAE" w:rsidP="003824AA">
      <w:pPr>
        <w:pStyle w:val="ListParagraph"/>
        <w:numPr>
          <w:ilvl w:val="0"/>
          <w:numId w:val="3"/>
        </w:numPr>
        <w:tabs>
          <w:tab w:val="clear" w:pos="1080"/>
          <w:tab w:val="num" w:pos="567"/>
        </w:tabs>
        <w:ind w:left="567" w:right="304" w:hanging="567"/>
        <w:jc w:val="both"/>
        <w:rPr>
          <w:rFonts w:cs="Arial"/>
          <w:b/>
          <w:szCs w:val="24"/>
        </w:rPr>
      </w:pPr>
      <w:r w:rsidRPr="00074EF4">
        <w:rPr>
          <w:rFonts w:cs="Arial"/>
          <w:szCs w:val="24"/>
        </w:rPr>
        <w:t>The capital</w:t>
      </w:r>
      <w:r>
        <w:rPr>
          <w:rFonts w:cs="Arial"/>
          <w:b/>
          <w:szCs w:val="24"/>
        </w:rPr>
        <w:t xml:space="preserve"> </w:t>
      </w:r>
      <w:r w:rsidRPr="00EC7648">
        <w:rPr>
          <w:rFonts w:cs="Arial"/>
          <w:iCs/>
        </w:rPr>
        <w:t>programme by directorate is included at Appendix 2 showing performance against the latest approved budget for each programme line</w:t>
      </w:r>
      <w:r>
        <w:rPr>
          <w:rFonts w:cs="Arial"/>
          <w:iCs/>
        </w:rPr>
        <w:t>.  Set out below is narrative to explain the capital outturn and the major variances:</w:t>
      </w:r>
      <w:r>
        <w:rPr>
          <w:rFonts w:cs="Arial"/>
          <w:b/>
          <w:szCs w:val="24"/>
        </w:rPr>
        <w:t xml:space="preserve"> </w:t>
      </w:r>
    </w:p>
    <w:p w:rsidR="003B1AE4" w:rsidRPr="000008F4" w:rsidRDefault="003B1AE4" w:rsidP="00074EF4">
      <w:pPr>
        <w:ind w:right="304" w:firstLine="14"/>
        <w:jc w:val="both"/>
        <w:rPr>
          <w:rFonts w:cs="Arial"/>
          <w:b/>
          <w:szCs w:val="24"/>
        </w:rPr>
      </w:pPr>
    </w:p>
    <w:p w:rsidR="000008F4" w:rsidRDefault="008D190F" w:rsidP="003824AA">
      <w:pPr>
        <w:ind w:left="14" w:right="304" w:firstLine="553"/>
        <w:jc w:val="both"/>
        <w:rPr>
          <w:rFonts w:cs="Arial"/>
          <w:b/>
          <w:szCs w:val="24"/>
        </w:rPr>
      </w:pPr>
      <w:r>
        <w:rPr>
          <w:rFonts w:cs="Arial"/>
          <w:b/>
          <w:szCs w:val="24"/>
        </w:rPr>
        <w:t>RESOURCES</w:t>
      </w:r>
    </w:p>
    <w:p w:rsidR="0009279F" w:rsidRDefault="0009279F" w:rsidP="004867E1">
      <w:pPr>
        <w:pStyle w:val="ListParagraph"/>
        <w:ind w:left="502" w:right="304"/>
        <w:jc w:val="both"/>
        <w:rPr>
          <w:rFonts w:cs="Arial"/>
          <w:szCs w:val="24"/>
        </w:rPr>
      </w:pPr>
    </w:p>
    <w:p w:rsidR="0009279F" w:rsidRPr="00074EF4" w:rsidRDefault="000008F4" w:rsidP="003824AA">
      <w:pPr>
        <w:pStyle w:val="ListParagraph"/>
        <w:numPr>
          <w:ilvl w:val="0"/>
          <w:numId w:val="3"/>
        </w:numPr>
        <w:tabs>
          <w:tab w:val="clear" w:pos="1080"/>
          <w:tab w:val="num" w:pos="567"/>
        </w:tabs>
        <w:ind w:left="567" w:right="304" w:hanging="567"/>
        <w:jc w:val="both"/>
        <w:rPr>
          <w:rFonts w:cs="Arial"/>
          <w:szCs w:val="24"/>
        </w:rPr>
      </w:pPr>
      <w:r w:rsidRPr="004867E1">
        <w:rPr>
          <w:rFonts w:cs="Arial"/>
          <w:szCs w:val="24"/>
        </w:rPr>
        <w:t>The directorate spent £</w:t>
      </w:r>
      <w:r w:rsidR="0049773A" w:rsidRPr="0009279F">
        <w:rPr>
          <w:rFonts w:cs="Arial"/>
          <w:szCs w:val="24"/>
        </w:rPr>
        <w:t>7.8</w:t>
      </w:r>
      <w:r w:rsidRPr="0009279F">
        <w:rPr>
          <w:rFonts w:cs="Arial"/>
          <w:szCs w:val="24"/>
        </w:rPr>
        <w:t>m against a budget of £</w:t>
      </w:r>
      <w:r w:rsidR="0049773A" w:rsidRPr="0009279F">
        <w:rPr>
          <w:rFonts w:cs="Arial"/>
          <w:szCs w:val="24"/>
        </w:rPr>
        <w:t>22m</w:t>
      </w:r>
      <w:r w:rsidRPr="0009279F">
        <w:rPr>
          <w:rFonts w:cs="Arial"/>
          <w:szCs w:val="24"/>
        </w:rPr>
        <w:t xml:space="preserve">, </w:t>
      </w:r>
      <w:r w:rsidR="00B169C1" w:rsidRPr="0009279F">
        <w:rPr>
          <w:rFonts w:cs="Arial"/>
          <w:szCs w:val="24"/>
        </w:rPr>
        <w:t xml:space="preserve">a </w:t>
      </w:r>
      <w:r w:rsidR="0049773A" w:rsidRPr="0009279F">
        <w:rPr>
          <w:rFonts w:cs="Arial"/>
          <w:szCs w:val="24"/>
        </w:rPr>
        <w:t>35</w:t>
      </w:r>
      <w:r w:rsidRPr="0009279F">
        <w:rPr>
          <w:rFonts w:cs="Arial"/>
          <w:szCs w:val="24"/>
        </w:rPr>
        <w:t>.</w:t>
      </w:r>
      <w:r w:rsidR="0049773A" w:rsidRPr="0009279F">
        <w:rPr>
          <w:rFonts w:cs="Arial"/>
          <w:szCs w:val="24"/>
        </w:rPr>
        <w:t>5</w:t>
      </w:r>
      <w:r w:rsidRPr="0009279F">
        <w:rPr>
          <w:rFonts w:cs="Arial"/>
          <w:szCs w:val="24"/>
        </w:rPr>
        <w:t>%</w:t>
      </w:r>
      <w:r w:rsidR="00B169C1" w:rsidRPr="0009279F">
        <w:rPr>
          <w:rFonts w:cs="Arial"/>
          <w:szCs w:val="24"/>
        </w:rPr>
        <w:t xml:space="preserve"> spend</w:t>
      </w:r>
      <w:r w:rsidRPr="0009279F">
        <w:rPr>
          <w:rFonts w:cs="Arial"/>
          <w:szCs w:val="24"/>
        </w:rPr>
        <w:t xml:space="preserve">. </w:t>
      </w:r>
      <w:r w:rsidR="00B169C1" w:rsidRPr="0009279F">
        <w:rPr>
          <w:rFonts w:cs="Arial"/>
          <w:szCs w:val="24"/>
        </w:rPr>
        <w:t>£</w:t>
      </w:r>
      <w:r w:rsidR="00860110" w:rsidRPr="0009279F">
        <w:rPr>
          <w:rFonts w:cs="Arial"/>
          <w:szCs w:val="24"/>
        </w:rPr>
        <w:t>10.3m</w:t>
      </w:r>
      <w:r w:rsidR="00B169C1" w:rsidRPr="0009279F">
        <w:rPr>
          <w:rFonts w:cs="Arial"/>
          <w:szCs w:val="24"/>
        </w:rPr>
        <w:t xml:space="preserve"> of </w:t>
      </w:r>
      <w:r w:rsidR="0009279F">
        <w:rPr>
          <w:rFonts w:cs="Arial"/>
          <w:szCs w:val="24"/>
        </w:rPr>
        <w:t xml:space="preserve">   </w:t>
      </w:r>
      <w:r w:rsidR="00B169C1" w:rsidRPr="0009279F">
        <w:rPr>
          <w:rFonts w:cs="Arial"/>
          <w:szCs w:val="24"/>
        </w:rPr>
        <w:t>the variance has slipped to 20</w:t>
      </w:r>
      <w:r w:rsidR="00860110" w:rsidRPr="0009279F">
        <w:rPr>
          <w:rFonts w:cs="Arial"/>
          <w:szCs w:val="24"/>
        </w:rPr>
        <w:t>1</w:t>
      </w:r>
      <w:r w:rsidR="00B169C1" w:rsidRPr="0009279F">
        <w:rPr>
          <w:rFonts w:cs="Arial"/>
          <w:szCs w:val="24"/>
        </w:rPr>
        <w:t>6</w:t>
      </w:r>
      <w:r w:rsidR="00860110" w:rsidRPr="0009279F">
        <w:rPr>
          <w:rFonts w:cs="Arial"/>
          <w:szCs w:val="24"/>
        </w:rPr>
        <w:t>/17</w:t>
      </w:r>
      <w:r w:rsidR="00B169C1" w:rsidRPr="0009279F">
        <w:rPr>
          <w:rFonts w:cs="Arial"/>
          <w:szCs w:val="24"/>
        </w:rPr>
        <w:t xml:space="preserve"> with underspend of £</w:t>
      </w:r>
      <w:r w:rsidR="00860110" w:rsidRPr="0009279F">
        <w:rPr>
          <w:rFonts w:cs="Arial"/>
          <w:szCs w:val="24"/>
        </w:rPr>
        <w:t>3.9</w:t>
      </w:r>
      <w:r w:rsidR="00B169C1" w:rsidRPr="0009279F">
        <w:rPr>
          <w:rFonts w:cs="Arial"/>
          <w:szCs w:val="24"/>
        </w:rPr>
        <w:t>m</w:t>
      </w:r>
      <w:r w:rsidR="00B169C1" w:rsidRPr="004867E1">
        <w:rPr>
          <w:rFonts w:cs="Arial"/>
          <w:szCs w:val="24"/>
        </w:rPr>
        <w:t xml:space="preserve">. </w:t>
      </w:r>
      <w:r w:rsidR="00C7624F" w:rsidRPr="0009279F">
        <w:rPr>
          <w:rFonts w:cs="Arial"/>
          <w:szCs w:val="24"/>
        </w:rPr>
        <w:t>T</w:t>
      </w:r>
      <w:r w:rsidR="00B169C1" w:rsidRPr="0009279F">
        <w:rPr>
          <w:rFonts w:cs="Arial"/>
          <w:szCs w:val="24"/>
        </w:rPr>
        <w:t>he key reason for slippage has been Capita delivery issues</w:t>
      </w:r>
      <w:r w:rsidR="00860110" w:rsidRPr="0009279F">
        <w:rPr>
          <w:rFonts w:cs="Arial"/>
          <w:szCs w:val="24"/>
        </w:rPr>
        <w:t xml:space="preserve">, </w:t>
      </w:r>
      <w:r w:rsidR="00B169C1" w:rsidRPr="0009279F">
        <w:rPr>
          <w:rFonts w:cs="Arial"/>
          <w:szCs w:val="24"/>
        </w:rPr>
        <w:t xml:space="preserve">  </w:t>
      </w:r>
      <w:r w:rsidR="00860110" w:rsidRPr="0009279F">
        <w:rPr>
          <w:rFonts w:cs="Arial"/>
          <w:szCs w:val="24"/>
        </w:rPr>
        <w:t xml:space="preserve">although the </w:t>
      </w:r>
      <w:r w:rsidR="00F7166B" w:rsidRPr="0009279F">
        <w:rPr>
          <w:rFonts w:cs="Arial"/>
          <w:szCs w:val="24"/>
        </w:rPr>
        <w:t xml:space="preserve">new IT provider Sopro </w:t>
      </w:r>
      <w:r w:rsidR="0009279F">
        <w:rPr>
          <w:rFonts w:cs="Arial"/>
          <w:szCs w:val="24"/>
        </w:rPr>
        <w:t xml:space="preserve"> </w:t>
      </w:r>
      <w:r w:rsidR="00F7166B" w:rsidRPr="0009279F">
        <w:rPr>
          <w:rFonts w:cs="Arial"/>
          <w:szCs w:val="24"/>
        </w:rPr>
        <w:t xml:space="preserve">Steria has now taken over from Capital, </w:t>
      </w:r>
      <w:r w:rsidR="00860110" w:rsidRPr="0009279F">
        <w:rPr>
          <w:rFonts w:cs="Arial"/>
          <w:szCs w:val="24"/>
        </w:rPr>
        <w:t>the backlog of project</w:t>
      </w:r>
      <w:r w:rsidR="00F7166B" w:rsidRPr="0009279F">
        <w:rPr>
          <w:rFonts w:cs="Arial"/>
          <w:szCs w:val="24"/>
        </w:rPr>
        <w:t>s</w:t>
      </w:r>
      <w:r w:rsidR="00860110" w:rsidRPr="0009279F">
        <w:rPr>
          <w:rFonts w:cs="Arial"/>
          <w:szCs w:val="24"/>
        </w:rPr>
        <w:t xml:space="preserve"> that </w:t>
      </w:r>
      <w:r w:rsidR="00F7166B" w:rsidRPr="0009279F">
        <w:rPr>
          <w:rFonts w:cs="Arial"/>
          <w:szCs w:val="24"/>
        </w:rPr>
        <w:t>was not finished</w:t>
      </w:r>
      <w:r w:rsidR="00860110" w:rsidRPr="004867E1">
        <w:rPr>
          <w:rFonts w:cs="Arial"/>
          <w:szCs w:val="24"/>
        </w:rPr>
        <w:t xml:space="preserve"> by Capita is yet </w:t>
      </w:r>
      <w:r w:rsidR="00E97CCA" w:rsidRPr="004867E1">
        <w:rPr>
          <w:rFonts w:cs="Arial"/>
          <w:szCs w:val="24"/>
        </w:rPr>
        <w:t xml:space="preserve">to </w:t>
      </w:r>
      <w:r w:rsidR="00860110" w:rsidRPr="004867E1">
        <w:rPr>
          <w:rFonts w:cs="Arial"/>
          <w:szCs w:val="24"/>
        </w:rPr>
        <w:t>be completed.</w:t>
      </w:r>
      <w:r w:rsidR="004867E1" w:rsidRPr="004867E1">
        <w:rPr>
          <w:rFonts w:cs="Arial"/>
          <w:szCs w:val="24"/>
        </w:rPr>
        <w:t xml:space="preserve">  </w:t>
      </w:r>
    </w:p>
    <w:p w:rsidR="00F7166B" w:rsidRPr="004867E1" w:rsidRDefault="00F7166B" w:rsidP="004867E1">
      <w:pPr>
        <w:pStyle w:val="ListParagraph"/>
        <w:ind w:left="502" w:right="304"/>
        <w:jc w:val="both"/>
        <w:rPr>
          <w:rFonts w:cs="Arial"/>
          <w:szCs w:val="24"/>
        </w:rPr>
      </w:pPr>
    </w:p>
    <w:p w:rsidR="00F7166B" w:rsidRPr="00074EF4" w:rsidRDefault="00F7166B" w:rsidP="003824AA">
      <w:pPr>
        <w:pStyle w:val="ListParagraph"/>
        <w:numPr>
          <w:ilvl w:val="0"/>
          <w:numId w:val="3"/>
        </w:numPr>
        <w:tabs>
          <w:tab w:val="clear" w:pos="1080"/>
          <w:tab w:val="num" w:pos="567"/>
        </w:tabs>
        <w:ind w:left="567" w:right="304" w:hanging="567"/>
        <w:jc w:val="both"/>
        <w:rPr>
          <w:rFonts w:cs="Arial"/>
          <w:szCs w:val="24"/>
        </w:rPr>
      </w:pPr>
      <w:r w:rsidRPr="00074EF4">
        <w:rPr>
          <w:rFonts w:cs="Arial"/>
          <w:szCs w:val="24"/>
        </w:rPr>
        <w:lastRenderedPageBreak/>
        <w:t>There has been slippage of £2.2m on the loan to West London Waste Authority due to delays in the progress of their investment programme.</w:t>
      </w:r>
    </w:p>
    <w:p w:rsidR="00F7166B" w:rsidRPr="00074EF4" w:rsidRDefault="00F7166B" w:rsidP="00074EF4">
      <w:pPr>
        <w:pStyle w:val="ListParagraph"/>
        <w:ind w:left="502" w:right="304"/>
        <w:jc w:val="both"/>
        <w:rPr>
          <w:rFonts w:cs="Arial"/>
          <w:szCs w:val="24"/>
        </w:rPr>
      </w:pPr>
    </w:p>
    <w:p w:rsidR="0009279F" w:rsidRDefault="008951A6" w:rsidP="003824AA">
      <w:pPr>
        <w:pStyle w:val="ListParagraph"/>
        <w:numPr>
          <w:ilvl w:val="0"/>
          <w:numId w:val="3"/>
        </w:numPr>
        <w:tabs>
          <w:tab w:val="clear" w:pos="1080"/>
          <w:tab w:val="num" w:pos="567"/>
        </w:tabs>
        <w:ind w:left="567" w:right="304" w:hanging="567"/>
        <w:jc w:val="both"/>
        <w:rPr>
          <w:rFonts w:cs="Arial"/>
          <w:szCs w:val="24"/>
        </w:rPr>
      </w:pPr>
      <w:r w:rsidRPr="00074EF4">
        <w:rPr>
          <w:rFonts w:cs="Arial"/>
          <w:szCs w:val="24"/>
        </w:rPr>
        <w:t xml:space="preserve">The </w:t>
      </w:r>
      <w:r w:rsidR="00194B89">
        <w:rPr>
          <w:rFonts w:cs="Arial"/>
          <w:szCs w:val="24"/>
        </w:rPr>
        <w:t>£</w:t>
      </w:r>
      <w:r w:rsidR="00F7166B" w:rsidRPr="00074EF4">
        <w:rPr>
          <w:rFonts w:cs="Arial"/>
          <w:szCs w:val="24"/>
        </w:rPr>
        <w:t>3.9m underspend</w:t>
      </w:r>
      <w:r w:rsidRPr="00074EF4">
        <w:rPr>
          <w:rFonts w:cs="Arial"/>
          <w:szCs w:val="24"/>
        </w:rPr>
        <w:t xml:space="preserve"> include</w:t>
      </w:r>
      <w:r w:rsidR="009867BB">
        <w:rPr>
          <w:rFonts w:cs="Arial"/>
          <w:szCs w:val="24"/>
        </w:rPr>
        <w:t>s</w:t>
      </w:r>
      <w:r w:rsidR="00F7166B" w:rsidRPr="00074EF4">
        <w:rPr>
          <w:rFonts w:cs="Arial"/>
          <w:szCs w:val="24"/>
        </w:rPr>
        <w:t xml:space="preserve"> </w:t>
      </w:r>
      <w:r w:rsidR="004867E1">
        <w:rPr>
          <w:rFonts w:cs="Arial"/>
          <w:szCs w:val="24"/>
        </w:rPr>
        <w:t xml:space="preserve">£3.7m in relation to </w:t>
      </w:r>
      <w:r w:rsidR="00F7166B" w:rsidRPr="00074EF4">
        <w:rPr>
          <w:rFonts w:cs="Arial"/>
          <w:szCs w:val="24"/>
        </w:rPr>
        <w:t>Transition and Transformation budget</w:t>
      </w:r>
      <w:r w:rsidR="006E037A">
        <w:rPr>
          <w:rFonts w:cs="Arial"/>
          <w:szCs w:val="24"/>
        </w:rPr>
        <w:t>s</w:t>
      </w:r>
      <w:r w:rsidR="004867E1">
        <w:rPr>
          <w:rFonts w:cs="Arial"/>
          <w:szCs w:val="24"/>
        </w:rPr>
        <w:t>.</w:t>
      </w:r>
      <w:r w:rsidR="00F7166B" w:rsidRPr="00074EF4">
        <w:rPr>
          <w:rFonts w:cs="Arial"/>
          <w:szCs w:val="24"/>
        </w:rPr>
        <w:t xml:space="preserve">. </w:t>
      </w:r>
      <w:r w:rsidR="0009279F">
        <w:rPr>
          <w:rFonts w:cs="Arial"/>
          <w:szCs w:val="24"/>
        </w:rPr>
        <w:t>This £3.7m is shown as an underspend, but the 2016/17 budget was increased by the same amount as part of the Capital Programme report agreed by Cabinet in February 2016.  The budget was realigned to represent the true spending plans and so this £3.6m which is shown as an underspend in 2015/16 will be spent in 2016/17, so is cost neutral across the 2 financial years.</w:t>
      </w:r>
    </w:p>
    <w:p w:rsidR="00B906F7" w:rsidRPr="00074EF4" w:rsidRDefault="00B906F7" w:rsidP="00B906F7">
      <w:pPr>
        <w:ind w:left="14" w:right="304"/>
        <w:jc w:val="both"/>
        <w:rPr>
          <w:rFonts w:cs="Arial"/>
          <w:color w:val="FF0000"/>
          <w:szCs w:val="24"/>
        </w:rPr>
      </w:pPr>
    </w:p>
    <w:p w:rsidR="00864EF6" w:rsidRDefault="00864EF6" w:rsidP="00074EF4">
      <w:pPr>
        <w:ind w:left="14" w:right="304" w:firstLine="488"/>
        <w:jc w:val="both"/>
        <w:rPr>
          <w:rFonts w:cs="Arial"/>
          <w:b/>
          <w:szCs w:val="24"/>
        </w:rPr>
      </w:pPr>
    </w:p>
    <w:p w:rsidR="00864EF6" w:rsidRDefault="00864EF6" w:rsidP="00074EF4">
      <w:pPr>
        <w:ind w:left="14" w:right="304" w:firstLine="488"/>
        <w:jc w:val="both"/>
        <w:rPr>
          <w:rFonts w:cs="Arial"/>
          <w:b/>
          <w:szCs w:val="24"/>
        </w:rPr>
      </w:pPr>
    </w:p>
    <w:p w:rsidR="0073720C" w:rsidRDefault="0073720C" w:rsidP="00074EF4">
      <w:pPr>
        <w:ind w:left="14" w:right="304" w:firstLine="488"/>
        <w:jc w:val="both"/>
        <w:rPr>
          <w:rFonts w:cs="Arial"/>
          <w:b/>
          <w:szCs w:val="24"/>
        </w:rPr>
      </w:pPr>
      <w:r>
        <w:rPr>
          <w:rFonts w:cs="Arial"/>
          <w:b/>
          <w:szCs w:val="24"/>
        </w:rPr>
        <w:t>C</w:t>
      </w:r>
      <w:r w:rsidR="008D190F">
        <w:rPr>
          <w:rFonts w:cs="Arial"/>
          <w:b/>
          <w:szCs w:val="24"/>
        </w:rPr>
        <w:t>OMMUNITY DIRECTORATE</w:t>
      </w:r>
      <w:r>
        <w:rPr>
          <w:rFonts w:cs="Arial"/>
          <w:b/>
          <w:szCs w:val="24"/>
        </w:rPr>
        <w:t xml:space="preserve"> </w:t>
      </w:r>
    </w:p>
    <w:p w:rsidR="006E037A" w:rsidRPr="004309A2" w:rsidRDefault="006E037A" w:rsidP="003824AA">
      <w:pPr>
        <w:pStyle w:val="ListParagraph"/>
        <w:numPr>
          <w:ilvl w:val="0"/>
          <w:numId w:val="3"/>
        </w:numPr>
        <w:tabs>
          <w:tab w:val="clear" w:pos="1080"/>
          <w:tab w:val="num" w:pos="567"/>
        </w:tabs>
        <w:ind w:left="567" w:right="304" w:hanging="567"/>
        <w:jc w:val="both"/>
        <w:rPr>
          <w:rFonts w:cs="Arial"/>
          <w:b/>
          <w:szCs w:val="24"/>
        </w:rPr>
      </w:pPr>
      <w:r w:rsidRPr="004309A2">
        <w:rPr>
          <w:rFonts w:cs="Arial"/>
          <w:szCs w:val="24"/>
        </w:rPr>
        <w:t>The net variance for the Community Directorate</w:t>
      </w:r>
      <w:r w:rsidR="0009279F" w:rsidRPr="004309A2">
        <w:rPr>
          <w:rFonts w:cs="Arial"/>
          <w:szCs w:val="24"/>
        </w:rPr>
        <w:t xml:space="preserve"> (which includes Cultural Services and Housing) </w:t>
      </w:r>
      <w:r w:rsidRPr="003F7E58">
        <w:rPr>
          <w:rFonts w:cs="Arial"/>
          <w:szCs w:val="24"/>
        </w:rPr>
        <w:t xml:space="preserve"> is an outturn of £23.2m against the budget of £33.2m, a variance of £10m. (£8.4m of slippage and £1.6m underspend</w:t>
      </w:r>
      <w:r w:rsidRPr="004309A2">
        <w:rPr>
          <w:rFonts w:cs="Arial"/>
          <w:szCs w:val="24"/>
        </w:rPr>
        <w:t>).</w:t>
      </w:r>
    </w:p>
    <w:p w:rsidR="0073720C" w:rsidRDefault="0073720C" w:rsidP="00B906F7">
      <w:pPr>
        <w:ind w:left="14" w:right="304"/>
        <w:jc w:val="both"/>
        <w:rPr>
          <w:rFonts w:cs="Arial"/>
          <w:b/>
          <w:szCs w:val="24"/>
        </w:rPr>
      </w:pPr>
    </w:p>
    <w:p w:rsidR="000008F4" w:rsidRPr="00B906F7" w:rsidRDefault="0073720C" w:rsidP="00074EF4">
      <w:pPr>
        <w:ind w:left="14" w:right="304" w:firstLine="488"/>
        <w:jc w:val="both"/>
        <w:rPr>
          <w:rFonts w:cs="Arial"/>
          <w:b/>
          <w:szCs w:val="24"/>
        </w:rPr>
      </w:pPr>
      <w:r>
        <w:rPr>
          <w:rFonts w:cs="Arial"/>
          <w:b/>
          <w:szCs w:val="24"/>
        </w:rPr>
        <w:t xml:space="preserve">Commissioning and </w:t>
      </w:r>
      <w:r w:rsidR="000008F4" w:rsidRPr="00B906F7">
        <w:rPr>
          <w:rFonts w:cs="Arial"/>
          <w:b/>
          <w:szCs w:val="24"/>
        </w:rPr>
        <w:t>Environment</w:t>
      </w:r>
      <w:r>
        <w:rPr>
          <w:rFonts w:cs="Arial"/>
          <w:b/>
          <w:szCs w:val="24"/>
        </w:rPr>
        <w:t>al Services</w:t>
      </w:r>
    </w:p>
    <w:p w:rsidR="00B16773" w:rsidRPr="00074EF4" w:rsidRDefault="00C7624F" w:rsidP="003824AA">
      <w:pPr>
        <w:pStyle w:val="ListParagraph"/>
        <w:numPr>
          <w:ilvl w:val="0"/>
          <w:numId w:val="3"/>
        </w:numPr>
        <w:tabs>
          <w:tab w:val="clear" w:pos="1080"/>
          <w:tab w:val="num" w:pos="567"/>
        </w:tabs>
        <w:ind w:left="567" w:right="304" w:hanging="567"/>
        <w:jc w:val="both"/>
        <w:rPr>
          <w:rFonts w:cs="Arial"/>
          <w:color w:val="FF0000"/>
          <w:szCs w:val="24"/>
        </w:rPr>
      </w:pPr>
      <w:r w:rsidRPr="0073720C">
        <w:rPr>
          <w:rFonts w:cs="Arial"/>
          <w:szCs w:val="24"/>
        </w:rPr>
        <w:t xml:space="preserve">The </w:t>
      </w:r>
      <w:r w:rsidR="0073720C" w:rsidRPr="00074EF4">
        <w:t xml:space="preserve">services spent £19m against a budget of £19.6m, a spent of 97%. £453k of the variance has been slipped to 2016/17. </w:t>
      </w:r>
    </w:p>
    <w:p w:rsidR="00B16773" w:rsidRPr="00074EF4" w:rsidRDefault="00B16773" w:rsidP="00B16773">
      <w:pPr>
        <w:ind w:right="304"/>
        <w:jc w:val="both"/>
        <w:rPr>
          <w:rFonts w:cs="Arial"/>
          <w:color w:val="FF0000"/>
          <w:szCs w:val="24"/>
        </w:rPr>
      </w:pPr>
    </w:p>
    <w:p w:rsidR="00B16773" w:rsidRPr="0073720C" w:rsidRDefault="0073720C" w:rsidP="003824AA">
      <w:pPr>
        <w:pStyle w:val="ListParagraph"/>
        <w:numPr>
          <w:ilvl w:val="0"/>
          <w:numId w:val="3"/>
        </w:numPr>
        <w:tabs>
          <w:tab w:val="clear" w:pos="1080"/>
          <w:tab w:val="num" w:pos="709"/>
        </w:tabs>
        <w:ind w:left="709" w:right="304" w:hanging="709"/>
        <w:jc w:val="both"/>
        <w:rPr>
          <w:rFonts w:cs="Arial"/>
          <w:szCs w:val="24"/>
        </w:rPr>
      </w:pPr>
      <w:r w:rsidRPr="00074EF4">
        <w:t xml:space="preserve">The capital funding was spent to invest in the Boroughs infrastructure and improve the place, both for residents and staff. Some of these improvements have led to the generation of additional income, particularly from disused parks buildings that were brought back into use. Others, such as the rationalisation of accommodation have yielded savings both on maintenance and utilities. Likewise, investment on the highways network including additional capital on street lighting to accelerate the replacement of old lamp columns will reduce both reactive maintenance and electricity costs in the future. Some projects contributed significantly to social regeneration by making available more facilities for community use. </w:t>
      </w:r>
    </w:p>
    <w:p w:rsidR="00B16773" w:rsidRPr="00074EF4" w:rsidRDefault="00B16773" w:rsidP="00B16773">
      <w:pPr>
        <w:ind w:left="14" w:right="304"/>
        <w:jc w:val="both"/>
        <w:rPr>
          <w:rFonts w:cs="Arial"/>
          <w:color w:val="FF0000"/>
          <w:szCs w:val="24"/>
        </w:rPr>
      </w:pPr>
    </w:p>
    <w:p w:rsidR="00B16773" w:rsidRPr="00074EF4" w:rsidRDefault="00B16773" w:rsidP="003824AA">
      <w:pPr>
        <w:pStyle w:val="ListParagraph"/>
        <w:numPr>
          <w:ilvl w:val="0"/>
          <w:numId w:val="3"/>
        </w:numPr>
        <w:tabs>
          <w:tab w:val="clear" w:pos="1080"/>
          <w:tab w:val="num" w:pos="709"/>
        </w:tabs>
        <w:ind w:right="304" w:hanging="1080"/>
        <w:jc w:val="both"/>
        <w:rPr>
          <w:rFonts w:cs="Arial"/>
          <w:szCs w:val="24"/>
        </w:rPr>
      </w:pPr>
      <w:r w:rsidRPr="0073720C">
        <w:rPr>
          <w:rFonts w:cs="Arial"/>
          <w:szCs w:val="24"/>
        </w:rPr>
        <w:t>Some</w:t>
      </w:r>
      <w:r w:rsidR="0073720C" w:rsidRPr="00074EF4">
        <w:rPr>
          <w:rFonts w:cs="Arial"/>
          <w:szCs w:val="24"/>
        </w:rPr>
        <w:t xml:space="preserve"> of </w:t>
      </w:r>
      <w:r w:rsidRPr="0073720C">
        <w:rPr>
          <w:rFonts w:cs="Arial"/>
          <w:szCs w:val="24"/>
        </w:rPr>
        <w:t xml:space="preserve"> the key projects and outcomes were:</w:t>
      </w:r>
    </w:p>
    <w:p w:rsidR="0073720C" w:rsidRPr="00074EF4" w:rsidRDefault="0073720C" w:rsidP="00074EF4">
      <w:pPr>
        <w:pStyle w:val="ListParagraph"/>
        <w:rPr>
          <w:rFonts w:cs="Arial"/>
          <w:color w:val="FF0000"/>
          <w:szCs w:val="24"/>
        </w:rPr>
      </w:pPr>
    </w:p>
    <w:p w:rsidR="0073720C" w:rsidRDefault="0073720C" w:rsidP="0073720C">
      <w:pPr>
        <w:pStyle w:val="ListParagraph"/>
        <w:numPr>
          <w:ilvl w:val="0"/>
          <w:numId w:val="35"/>
        </w:numPr>
        <w:ind w:right="304"/>
        <w:jc w:val="both"/>
      </w:pPr>
      <w:r w:rsidRPr="00074EF4">
        <w:t xml:space="preserve">Highways: Re-surfaced </w:t>
      </w:r>
      <w:r w:rsidR="00DE26AC">
        <w:t>22.5</w:t>
      </w:r>
      <w:r w:rsidRPr="00074EF4">
        <w:t xml:space="preserve"> km of Harrow’s 460km road network and carried out </w:t>
      </w:r>
      <w:r w:rsidR="00DE26AC">
        <w:t>2,000</w:t>
      </w:r>
      <w:r w:rsidRPr="00074EF4">
        <w:t xml:space="preserve"> repairs to carriageways including potholes related work. Reconstructed </w:t>
      </w:r>
      <w:r w:rsidR="00DE26AC">
        <w:t>22,129</w:t>
      </w:r>
      <w:r w:rsidRPr="00074EF4">
        <w:t xml:space="preserve"> linear meters of footways and carried out 3,</w:t>
      </w:r>
      <w:r w:rsidR="00DE26AC">
        <w:t>500</w:t>
      </w:r>
      <w:r w:rsidRPr="00074EF4">
        <w:t xml:space="preserve"> repairs to footways to improve safety to residents and visitors.</w:t>
      </w:r>
    </w:p>
    <w:p w:rsidR="00DE26AC" w:rsidRPr="00074EF4" w:rsidRDefault="00DE26AC" w:rsidP="003824AA">
      <w:pPr>
        <w:pStyle w:val="ListParagraph"/>
        <w:ind w:right="304"/>
        <w:jc w:val="both"/>
      </w:pPr>
    </w:p>
    <w:p w:rsidR="0073720C" w:rsidRPr="00074EF4" w:rsidRDefault="0073720C" w:rsidP="0073720C">
      <w:pPr>
        <w:pStyle w:val="ListParagraph"/>
        <w:numPr>
          <w:ilvl w:val="0"/>
          <w:numId w:val="35"/>
        </w:numPr>
        <w:ind w:right="304"/>
        <w:jc w:val="both"/>
      </w:pPr>
      <w:r w:rsidRPr="00074EF4">
        <w:t>Stre</w:t>
      </w:r>
      <w:r w:rsidR="00CA49AC">
        <w:t>et Lights: Replaced around 2,150</w:t>
      </w:r>
      <w:r w:rsidRPr="00074EF4">
        <w:t xml:space="preserve"> lighting columns with LED technology to improve safety and energy efficiency</w:t>
      </w:r>
    </w:p>
    <w:p w:rsidR="0073720C" w:rsidRPr="00074EF4" w:rsidRDefault="0073720C" w:rsidP="0073720C">
      <w:pPr>
        <w:pStyle w:val="ListParagraph"/>
        <w:numPr>
          <w:ilvl w:val="0"/>
          <w:numId w:val="35"/>
        </w:numPr>
        <w:ind w:right="304"/>
        <w:jc w:val="both"/>
      </w:pPr>
      <w:r w:rsidRPr="00074EF4">
        <w:t xml:space="preserve">Parking Management Programme: All schemes agreed at TARSAP in February 2015 were implemented. These include the introduction of new CPZ zones in Headstone Lane Station area and Whitmore Road area. </w:t>
      </w:r>
    </w:p>
    <w:p w:rsidR="0073720C" w:rsidRPr="00074EF4" w:rsidRDefault="0073720C" w:rsidP="0073720C">
      <w:pPr>
        <w:pStyle w:val="ListParagraph"/>
        <w:numPr>
          <w:ilvl w:val="0"/>
          <w:numId w:val="35"/>
        </w:numPr>
        <w:ind w:left="735" w:right="304"/>
        <w:jc w:val="both"/>
      </w:pPr>
      <w:r w:rsidRPr="00074EF4">
        <w:t xml:space="preserve">Green Gym: Installation of 6 new green gyms to improve community access to healthy activities and promote physical exercises. </w:t>
      </w:r>
    </w:p>
    <w:p w:rsidR="0073720C" w:rsidRPr="00074EF4" w:rsidRDefault="0073720C" w:rsidP="0073720C">
      <w:pPr>
        <w:pStyle w:val="ListParagraph"/>
        <w:numPr>
          <w:ilvl w:val="0"/>
          <w:numId w:val="35"/>
        </w:numPr>
        <w:ind w:right="304"/>
        <w:jc w:val="both"/>
      </w:pPr>
      <w:r w:rsidRPr="00074EF4">
        <w:t xml:space="preserve">Trees: Planted over </w:t>
      </w:r>
      <w:r w:rsidR="00EC2497">
        <w:t>200</w:t>
      </w:r>
      <w:r w:rsidRPr="00074EF4">
        <w:t xml:space="preserve"> street trees to green the environment.</w:t>
      </w:r>
    </w:p>
    <w:p w:rsidR="0073720C" w:rsidRPr="00074EF4" w:rsidRDefault="0073720C" w:rsidP="0073720C">
      <w:pPr>
        <w:pStyle w:val="ListParagraph"/>
        <w:numPr>
          <w:ilvl w:val="0"/>
          <w:numId w:val="35"/>
        </w:numPr>
        <w:ind w:right="304"/>
        <w:jc w:val="both"/>
      </w:pPr>
      <w:r w:rsidRPr="00074EF4">
        <w:t xml:space="preserve">Parks Buildings: Improvements made to a number of buildings including </w:t>
      </w:r>
    </w:p>
    <w:p w:rsidR="0073720C" w:rsidRPr="00074EF4" w:rsidRDefault="0073720C" w:rsidP="0073720C">
      <w:pPr>
        <w:pStyle w:val="ListParagraph"/>
        <w:numPr>
          <w:ilvl w:val="0"/>
          <w:numId w:val="36"/>
        </w:numPr>
        <w:ind w:right="304"/>
        <w:jc w:val="both"/>
      </w:pPr>
      <w:r w:rsidRPr="00074EF4">
        <w:t>The disused building in Centenary Park was refurbished to provide a new nursery and hence generates a rent income for the Council</w:t>
      </w:r>
    </w:p>
    <w:p w:rsidR="0073720C" w:rsidRPr="00074EF4" w:rsidRDefault="0073720C" w:rsidP="0073720C">
      <w:pPr>
        <w:pStyle w:val="ListParagraph"/>
        <w:numPr>
          <w:ilvl w:val="0"/>
          <w:numId w:val="36"/>
        </w:numPr>
        <w:ind w:left="1455" w:right="304"/>
        <w:jc w:val="both"/>
      </w:pPr>
      <w:r w:rsidRPr="00074EF4">
        <w:lastRenderedPageBreak/>
        <w:t>changing rooms within parks were refurbished including Roxbourne Recreation Ground, Roxeth Recreation Ground, Kenton Recreation Ground and West Harrow to provide better facilities for visitors and users.</w:t>
      </w:r>
    </w:p>
    <w:p w:rsidR="0073720C" w:rsidRPr="00074EF4" w:rsidRDefault="0073720C" w:rsidP="0073720C">
      <w:pPr>
        <w:pStyle w:val="ListParagraph"/>
        <w:numPr>
          <w:ilvl w:val="0"/>
          <w:numId w:val="36"/>
        </w:numPr>
        <w:ind w:left="1470" w:right="304"/>
        <w:jc w:val="both"/>
      </w:pPr>
      <w:r w:rsidRPr="00074EF4">
        <w:t>Refurbishment work at Headstone Manor pavilion</w:t>
      </w:r>
    </w:p>
    <w:p w:rsidR="0073720C" w:rsidRPr="00E26796" w:rsidRDefault="0073720C" w:rsidP="00074EF4">
      <w:pPr>
        <w:pStyle w:val="ListParagraph"/>
        <w:numPr>
          <w:ilvl w:val="0"/>
          <w:numId w:val="38"/>
        </w:numPr>
        <w:ind w:right="304"/>
        <w:jc w:val="both"/>
      </w:pPr>
      <w:r w:rsidRPr="00074EF4">
        <w:t>Food waste: New food waste bins and kitchen caddies were provided to residents as part of the roll out of the separate food and garden waste collection, which has resulted in increased recycling of food waste.</w:t>
      </w:r>
    </w:p>
    <w:p w:rsidR="00C7624F" w:rsidRPr="00C7624F" w:rsidRDefault="00C7624F" w:rsidP="00C7624F">
      <w:pPr>
        <w:ind w:left="14" w:right="304"/>
        <w:jc w:val="both"/>
        <w:rPr>
          <w:rFonts w:cs="Arial"/>
          <w:szCs w:val="24"/>
        </w:rPr>
      </w:pPr>
    </w:p>
    <w:p w:rsidR="000008F4" w:rsidRPr="00B906F7" w:rsidRDefault="0073720C" w:rsidP="00074EF4">
      <w:pPr>
        <w:ind w:left="14" w:right="304" w:firstLine="488"/>
        <w:jc w:val="both"/>
        <w:rPr>
          <w:rFonts w:cs="Arial"/>
          <w:b/>
          <w:szCs w:val="24"/>
        </w:rPr>
      </w:pPr>
      <w:r>
        <w:rPr>
          <w:rFonts w:cs="Arial"/>
          <w:b/>
          <w:szCs w:val="24"/>
        </w:rPr>
        <w:t>Cultural Services</w:t>
      </w:r>
    </w:p>
    <w:p w:rsidR="003B1AE4" w:rsidRPr="003824AA" w:rsidRDefault="00601DA5" w:rsidP="003824AA">
      <w:pPr>
        <w:pStyle w:val="ListParagraph"/>
        <w:numPr>
          <w:ilvl w:val="0"/>
          <w:numId w:val="3"/>
        </w:numPr>
        <w:tabs>
          <w:tab w:val="clear" w:pos="1080"/>
          <w:tab w:val="num" w:pos="567"/>
        </w:tabs>
        <w:ind w:left="567" w:right="304" w:hanging="425"/>
        <w:jc w:val="both"/>
        <w:rPr>
          <w:rFonts w:cs="Arial"/>
          <w:color w:val="FF0000"/>
          <w:szCs w:val="24"/>
        </w:rPr>
      </w:pPr>
      <w:r w:rsidRPr="003B1AE4">
        <w:rPr>
          <w:rFonts w:cs="Arial"/>
          <w:szCs w:val="24"/>
        </w:rPr>
        <w:t xml:space="preserve">The </w:t>
      </w:r>
      <w:r w:rsidR="0073720C" w:rsidRPr="00074EF4">
        <w:rPr>
          <w:rFonts w:cs="Arial"/>
          <w:szCs w:val="24"/>
        </w:rPr>
        <w:t>service</w:t>
      </w:r>
      <w:r w:rsidRPr="003B1AE4">
        <w:rPr>
          <w:rFonts w:cs="Arial"/>
          <w:szCs w:val="24"/>
        </w:rPr>
        <w:t xml:space="preserve"> spent </w:t>
      </w:r>
      <w:r w:rsidR="0073720C" w:rsidRPr="00074EF4">
        <w:rPr>
          <w:rFonts w:cs="Arial"/>
          <w:szCs w:val="24"/>
        </w:rPr>
        <w:t>£1.</w:t>
      </w:r>
      <w:r w:rsidR="00194B89">
        <w:rPr>
          <w:rFonts w:cs="Arial"/>
          <w:szCs w:val="24"/>
        </w:rPr>
        <w:t>33</w:t>
      </w:r>
      <w:r w:rsidR="0073720C" w:rsidRPr="00074EF4">
        <w:rPr>
          <w:rFonts w:cs="Arial"/>
          <w:szCs w:val="24"/>
        </w:rPr>
        <w:t xml:space="preserve">6m against a budget of £2.544m, a 50% spend. £1.224m of the variance has been slipped to 2016/17. Headstone Manor project is on-going, and </w:t>
      </w:r>
      <w:r w:rsidR="00EC2497">
        <w:rPr>
          <w:rFonts w:cs="Arial"/>
          <w:szCs w:val="24"/>
        </w:rPr>
        <w:t xml:space="preserve">the </w:t>
      </w:r>
      <w:r w:rsidR="0073720C" w:rsidRPr="00074EF4">
        <w:rPr>
          <w:rFonts w:cs="Arial"/>
          <w:szCs w:val="24"/>
        </w:rPr>
        <w:t xml:space="preserve">Great Barn work has been completed in 15/16. The site will be used as for holding events and weddings, providing an income stream going forward. </w:t>
      </w:r>
    </w:p>
    <w:p w:rsidR="00FD2B52" w:rsidRPr="003824AA" w:rsidRDefault="00FD2B52" w:rsidP="003824AA">
      <w:pPr>
        <w:pStyle w:val="ListParagraph"/>
        <w:ind w:left="502" w:right="304"/>
        <w:jc w:val="both"/>
        <w:rPr>
          <w:rFonts w:cs="Arial"/>
          <w:color w:val="FF0000"/>
          <w:szCs w:val="24"/>
        </w:rPr>
      </w:pPr>
    </w:p>
    <w:p w:rsidR="00FD2B52" w:rsidRPr="003824AA" w:rsidRDefault="00FD2B52" w:rsidP="003824AA">
      <w:pPr>
        <w:pStyle w:val="ListParagraph"/>
        <w:numPr>
          <w:ilvl w:val="0"/>
          <w:numId w:val="3"/>
        </w:numPr>
        <w:tabs>
          <w:tab w:val="clear" w:pos="1080"/>
        </w:tabs>
        <w:ind w:left="567" w:right="304" w:hanging="425"/>
        <w:jc w:val="both"/>
        <w:rPr>
          <w:rFonts w:cs="Arial"/>
          <w:szCs w:val="24"/>
        </w:rPr>
      </w:pPr>
      <w:r w:rsidRPr="003824AA">
        <w:rPr>
          <w:rFonts w:cs="Arial"/>
          <w:szCs w:val="24"/>
        </w:rPr>
        <w:t xml:space="preserve">Within the Community and Culture Capital programme, there is a £1m loan </w:t>
      </w:r>
      <w:r w:rsidR="00FE2277" w:rsidRPr="003824AA">
        <w:rPr>
          <w:rFonts w:cs="Arial"/>
          <w:szCs w:val="24"/>
        </w:rPr>
        <w:t xml:space="preserve">in 2016/17 to be provided to </w:t>
      </w:r>
      <w:r w:rsidRPr="003824AA">
        <w:rPr>
          <w:rFonts w:cs="Arial"/>
          <w:szCs w:val="24"/>
        </w:rPr>
        <w:t xml:space="preserve"> Cultura London which would co</w:t>
      </w:r>
      <w:r w:rsidR="0093731F" w:rsidRPr="003824AA">
        <w:rPr>
          <w:rFonts w:cs="Arial"/>
          <w:szCs w:val="24"/>
        </w:rPr>
        <w:t>ntribute towards the £3.8m cost</w:t>
      </w:r>
      <w:r w:rsidRPr="003824AA">
        <w:rPr>
          <w:rFonts w:cs="Arial"/>
          <w:szCs w:val="24"/>
        </w:rPr>
        <w:t xml:space="preserve"> of a new extension to the Elliott Hall to replace the existing </w:t>
      </w:r>
      <w:r w:rsidR="002F4567" w:rsidRPr="003824AA">
        <w:rPr>
          <w:rFonts w:cs="Arial"/>
          <w:szCs w:val="24"/>
        </w:rPr>
        <w:t>Hall, and provide a cinema</w:t>
      </w:r>
      <w:r w:rsidR="00BA70EF" w:rsidRPr="003824AA">
        <w:rPr>
          <w:rFonts w:cs="Arial"/>
          <w:szCs w:val="24"/>
        </w:rPr>
        <w:t xml:space="preserve"> at the Arts Centre</w:t>
      </w:r>
      <w:r w:rsidR="002F4567" w:rsidRPr="003824AA">
        <w:rPr>
          <w:rFonts w:cs="Arial"/>
          <w:szCs w:val="24"/>
        </w:rPr>
        <w:t>. £2.8m of external funding is required to be raised by the Trust</w:t>
      </w:r>
      <w:r w:rsidR="00066138" w:rsidRPr="003824AA">
        <w:rPr>
          <w:rFonts w:cs="Arial"/>
          <w:szCs w:val="24"/>
        </w:rPr>
        <w:t xml:space="preserve"> and therefore, in order to facilitate the project </w:t>
      </w:r>
      <w:r w:rsidR="00C4240B" w:rsidRPr="003824AA">
        <w:rPr>
          <w:rFonts w:cs="Arial"/>
          <w:szCs w:val="24"/>
        </w:rPr>
        <w:t xml:space="preserve">it is recommended </w:t>
      </w:r>
      <w:r w:rsidR="0009279F" w:rsidRPr="003824AA">
        <w:rPr>
          <w:rFonts w:cs="Arial"/>
          <w:szCs w:val="24"/>
        </w:rPr>
        <w:t xml:space="preserve">that Cabinet </w:t>
      </w:r>
      <w:r w:rsidR="00FE2277" w:rsidRPr="003824AA">
        <w:rPr>
          <w:rFonts w:cs="Arial"/>
          <w:szCs w:val="24"/>
        </w:rPr>
        <w:t xml:space="preserve">agrees to </w:t>
      </w:r>
      <w:r w:rsidR="00C4240B" w:rsidRPr="003824AA">
        <w:rPr>
          <w:rFonts w:cs="Arial"/>
          <w:szCs w:val="24"/>
        </w:rPr>
        <w:t>replace t</w:t>
      </w:r>
      <w:r w:rsidR="0009279F" w:rsidRPr="003824AA">
        <w:rPr>
          <w:rFonts w:cs="Arial"/>
          <w:szCs w:val="24"/>
        </w:rPr>
        <w:t xml:space="preserve">he original </w:t>
      </w:r>
      <w:r w:rsidR="002F4567" w:rsidRPr="003824AA">
        <w:rPr>
          <w:rFonts w:cs="Arial"/>
          <w:szCs w:val="24"/>
        </w:rPr>
        <w:t xml:space="preserve">£1m </w:t>
      </w:r>
      <w:r w:rsidR="00BA70EF" w:rsidRPr="003824AA">
        <w:rPr>
          <w:rFonts w:cs="Arial"/>
          <w:szCs w:val="24"/>
        </w:rPr>
        <w:t>loan</w:t>
      </w:r>
      <w:r w:rsidR="00C4240B" w:rsidRPr="003824AA">
        <w:rPr>
          <w:rFonts w:cs="Arial"/>
          <w:szCs w:val="24"/>
        </w:rPr>
        <w:t xml:space="preserve"> with a £1m capital grant. This will have no effect on the Capital Programme and the revenue implications will be covered within the </w:t>
      </w:r>
      <w:r w:rsidR="00886ED8" w:rsidRPr="003824AA">
        <w:rPr>
          <w:rFonts w:cs="Arial"/>
          <w:szCs w:val="24"/>
        </w:rPr>
        <w:t xml:space="preserve">MTFS. </w:t>
      </w:r>
      <w:r w:rsidR="00BA70EF" w:rsidRPr="003824AA">
        <w:rPr>
          <w:rFonts w:cs="Arial"/>
          <w:szCs w:val="24"/>
        </w:rPr>
        <w:t xml:space="preserve">There will be a further update to </w:t>
      </w:r>
      <w:r w:rsidR="00066138" w:rsidRPr="003824AA">
        <w:rPr>
          <w:rFonts w:cs="Arial"/>
          <w:szCs w:val="24"/>
        </w:rPr>
        <w:t xml:space="preserve">Cabinet </w:t>
      </w:r>
      <w:r w:rsidR="00BA70EF" w:rsidRPr="003824AA">
        <w:rPr>
          <w:rFonts w:cs="Arial"/>
          <w:szCs w:val="24"/>
        </w:rPr>
        <w:t xml:space="preserve">in July on </w:t>
      </w:r>
      <w:r w:rsidR="00886ED8" w:rsidRPr="003824AA">
        <w:rPr>
          <w:rFonts w:cs="Arial"/>
          <w:szCs w:val="24"/>
        </w:rPr>
        <w:t>the progress of</w:t>
      </w:r>
      <w:r w:rsidR="00BA70EF" w:rsidRPr="003824AA">
        <w:rPr>
          <w:rFonts w:cs="Arial"/>
          <w:szCs w:val="24"/>
        </w:rPr>
        <w:t xml:space="preserve"> the </w:t>
      </w:r>
      <w:r w:rsidR="003F7E58" w:rsidRPr="003824AA">
        <w:rPr>
          <w:rFonts w:cs="Arial"/>
          <w:szCs w:val="24"/>
        </w:rPr>
        <w:t>transfer of Arts and Heritage services.</w:t>
      </w:r>
    </w:p>
    <w:p w:rsidR="003B1AE4" w:rsidRDefault="003B1AE4" w:rsidP="00074EF4">
      <w:pPr>
        <w:pStyle w:val="ListParagraph"/>
        <w:ind w:left="502" w:right="304"/>
        <w:jc w:val="both"/>
        <w:rPr>
          <w:rFonts w:cs="Arial"/>
          <w:szCs w:val="24"/>
        </w:rPr>
      </w:pPr>
    </w:p>
    <w:p w:rsidR="003B1AE4" w:rsidRPr="003824AA" w:rsidRDefault="003B1AE4" w:rsidP="003824AA">
      <w:pPr>
        <w:ind w:right="304" w:firstLine="567"/>
        <w:jc w:val="both"/>
        <w:rPr>
          <w:rFonts w:cs="Arial"/>
          <w:b/>
          <w:color w:val="FF0000"/>
          <w:szCs w:val="24"/>
        </w:rPr>
      </w:pPr>
      <w:r w:rsidRPr="003824AA">
        <w:rPr>
          <w:rFonts w:cs="Arial"/>
          <w:b/>
          <w:szCs w:val="24"/>
        </w:rPr>
        <w:t>Housing General Fund</w:t>
      </w:r>
    </w:p>
    <w:p w:rsidR="003B1AE4" w:rsidRPr="00E26796" w:rsidRDefault="003B1AE4" w:rsidP="003824AA">
      <w:pPr>
        <w:pStyle w:val="ListParagraph"/>
        <w:numPr>
          <w:ilvl w:val="0"/>
          <w:numId w:val="3"/>
        </w:numPr>
        <w:tabs>
          <w:tab w:val="clear" w:pos="1080"/>
          <w:tab w:val="num" w:pos="567"/>
        </w:tabs>
        <w:ind w:left="567" w:right="304" w:hanging="425"/>
        <w:jc w:val="both"/>
        <w:rPr>
          <w:rFonts w:cs="Arial"/>
          <w:szCs w:val="24"/>
        </w:rPr>
      </w:pPr>
      <w:r w:rsidRPr="00074EF4">
        <w:rPr>
          <w:rFonts w:cs="Arial"/>
          <w:szCs w:val="24"/>
        </w:rPr>
        <w:t xml:space="preserve">The service spent </w:t>
      </w:r>
      <w:r w:rsidRPr="00074EF4">
        <w:t>£1.688m against a budget of £3.594m, a 47% spend. £509k of the variance has been slipped to 2016/17.</w:t>
      </w:r>
      <w:r w:rsidRPr="00074EF4">
        <w:rPr>
          <w:rFonts w:eastAsiaTheme="minorHAnsi" w:cs="Arial"/>
          <w:sz w:val="22"/>
          <w:szCs w:val="22"/>
          <w:lang w:eastAsia="en-GB"/>
        </w:rPr>
        <w:t xml:space="preserve"> </w:t>
      </w:r>
      <w:r w:rsidRPr="00074EF4">
        <w:t>Improvement Grants and Disabled Facilities Grants were substantially spent. Expenditure on Green Deal Communities relates to a grant to a private resident for energy saving improvements. The rest of the scheme is abortive and unutilised grant of £1.352m has been returned to the Department of Energy &amp; Climate Change (DECC).</w:t>
      </w:r>
      <w:r>
        <w:t xml:space="preserve"> </w:t>
      </w:r>
      <w:r w:rsidRPr="00074EF4">
        <w:t>Unspent Empty Property Grants, aimed at releasing empty properties held by private landlords for Council use, are expected to be carried forward.</w:t>
      </w:r>
    </w:p>
    <w:p w:rsidR="003B1AE4" w:rsidRPr="00EF3353" w:rsidRDefault="003B1AE4" w:rsidP="00074EF4">
      <w:pPr>
        <w:pStyle w:val="ListParagraph"/>
        <w:ind w:left="502" w:right="304"/>
        <w:jc w:val="both"/>
        <w:rPr>
          <w:rFonts w:cs="Arial"/>
          <w:szCs w:val="24"/>
        </w:rPr>
      </w:pPr>
    </w:p>
    <w:p w:rsidR="003B1AE4" w:rsidRPr="00E26796" w:rsidRDefault="003B1AE4" w:rsidP="003824AA">
      <w:pPr>
        <w:pStyle w:val="ListParagraph"/>
        <w:ind w:left="502" w:right="304" w:firstLine="65"/>
        <w:jc w:val="both"/>
        <w:rPr>
          <w:rFonts w:cs="Arial"/>
          <w:szCs w:val="24"/>
        </w:rPr>
      </w:pPr>
      <w:r w:rsidRPr="00074EF4">
        <w:rPr>
          <w:rFonts w:cs="Arial"/>
          <w:b/>
          <w:szCs w:val="24"/>
        </w:rPr>
        <w:t xml:space="preserve">Property </w:t>
      </w:r>
      <w:r w:rsidRPr="00EC7648">
        <w:rPr>
          <w:b/>
          <w:bCs/>
        </w:rPr>
        <w:t>Purchase Initiative</w:t>
      </w:r>
    </w:p>
    <w:p w:rsidR="003B1AE4" w:rsidRPr="00074EF4" w:rsidRDefault="003B1AE4" w:rsidP="003824AA">
      <w:pPr>
        <w:pStyle w:val="ListParagraph"/>
        <w:numPr>
          <w:ilvl w:val="0"/>
          <w:numId w:val="3"/>
        </w:numPr>
        <w:tabs>
          <w:tab w:val="clear" w:pos="1080"/>
          <w:tab w:val="num" w:pos="709"/>
        </w:tabs>
        <w:ind w:left="709" w:right="304" w:hanging="567"/>
        <w:jc w:val="both"/>
        <w:rPr>
          <w:rFonts w:cs="Arial"/>
          <w:szCs w:val="24"/>
        </w:rPr>
      </w:pPr>
      <w:r>
        <w:rPr>
          <w:rFonts w:cs="Arial"/>
          <w:szCs w:val="24"/>
        </w:rPr>
        <w:t xml:space="preserve">£1.193m was spent </w:t>
      </w:r>
      <w:r w:rsidRPr="00EC7648">
        <w:t xml:space="preserve">against a budget of £7.5m, a 16% spend. The full variance of £6.307m has been slipped to 2016/17. </w:t>
      </w:r>
      <w:r w:rsidR="00194B89">
        <w:t>T</w:t>
      </w:r>
      <w:r w:rsidR="00504A66">
        <w:t>wo</w:t>
      </w:r>
      <w:r w:rsidR="00194B89">
        <w:t xml:space="preserve"> properties have</w:t>
      </w:r>
      <w:r w:rsidR="004979DE">
        <w:t xml:space="preserve"> been purchased to 31 March 2016</w:t>
      </w:r>
      <w:r w:rsidR="00194B89">
        <w:t xml:space="preserve">, with a </w:t>
      </w:r>
      <w:r w:rsidR="00504A66">
        <w:t xml:space="preserve">number of exchanges also made, one of which was an office to residential conversion containing </w:t>
      </w:r>
      <w:r w:rsidR="00194B89">
        <w:t>14 dwellings</w:t>
      </w:r>
      <w:r w:rsidR="00504A66">
        <w:t xml:space="preserve">. </w:t>
      </w:r>
      <w:r w:rsidR="00194B89">
        <w:t xml:space="preserve"> Further properties are in the process of being identified for purchase and negotiations are in progress.</w:t>
      </w:r>
    </w:p>
    <w:p w:rsidR="00EC2497" w:rsidRDefault="003B1AE4" w:rsidP="003824AA">
      <w:pPr>
        <w:ind w:left="502" w:right="304"/>
        <w:jc w:val="both"/>
        <w:rPr>
          <w:rFonts w:cs="Arial"/>
          <w:szCs w:val="24"/>
        </w:rPr>
      </w:pPr>
      <w:r>
        <w:t>.</w:t>
      </w:r>
    </w:p>
    <w:p w:rsidR="00EC2497" w:rsidRPr="00074EF4" w:rsidRDefault="00EC2497" w:rsidP="003824AA">
      <w:pPr>
        <w:ind w:right="304" w:firstLine="502"/>
        <w:jc w:val="both"/>
        <w:rPr>
          <w:rFonts w:cs="Arial"/>
          <w:b/>
          <w:szCs w:val="24"/>
        </w:rPr>
      </w:pPr>
      <w:r w:rsidRPr="00074EF4">
        <w:rPr>
          <w:rFonts w:cs="Arial"/>
          <w:b/>
          <w:szCs w:val="24"/>
        </w:rPr>
        <w:t>PEOPLE DIRECTORATE</w:t>
      </w:r>
    </w:p>
    <w:p w:rsidR="00A234E5" w:rsidRDefault="00A234E5" w:rsidP="00B906F7">
      <w:pPr>
        <w:ind w:left="14" w:right="304"/>
        <w:jc w:val="both"/>
        <w:rPr>
          <w:rFonts w:cs="Arial"/>
          <w:b/>
          <w:szCs w:val="24"/>
        </w:rPr>
      </w:pPr>
    </w:p>
    <w:p w:rsidR="000008F4" w:rsidRPr="00B906F7" w:rsidRDefault="000008F4" w:rsidP="003824AA">
      <w:pPr>
        <w:ind w:left="14" w:right="304" w:firstLine="706"/>
        <w:jc w:val="both"/>
        <w:rPr>
          <w:rFonts w:cs="Arial"/>
          <w:b/>
          <w:szCs w:val="24"/>
        </w:rPr>
      </w:pPr>
      <w:r w:rsidRPr="00B906F7">
        <w:rPr>
          <w:rFonts w:cs="Arial"/>
          <w:b/>
          <w:szCs w:val="24"/>
        </w:rPr>
        <w:t>Children &amp; Families</w:t>
      </w:r>
    </w:p>
    <w:p w:rsidR="00E050FB" w:rsidRPr="00074EF4" w:rsidRDefault="00B906F7" w:rsidP="003824AA">
      <w:pPr>
        <w:pStyle w:val="ListParagraph"/>
        <w:numPr>
          <w:ilvl w:val="0"/>
          <w:numId w:val="3"/>
        </w:numPr>
        <w:tabs>
          <w:tab w:val="clear" w:pos="1080"/>
          <w:tab w:val="num" w:pos="709"/>
        </w:tabs>
        <w:ind w:left="709" w:right="304" w:hanging="567"/>
        <w:jc w:val="both"/>
        <w:rPr>
          <w:rFonts w:cs="Arial"/>
          <w:color w:val="FF0000"/>
          <w:szCs w:val="24"/>
        </w:rPr>
      </w:pPr>
      <w:r w:rsidRPr="00E050FB">
        <w:rPr>
          <w:rFonts w:cs="Arial"/>
          <w:szCs w:val="24"/>
        </w:rPr>
        <w:t xml:space="preserve">The </w:t>
      </w:r>
      <w:r w:rsidR="008C24E0">
        <w:rPr>
          <w:rFonts w:cs="Arial"/>
        </w:rPr>
        <w:t>final outturn in 2015-16 for the schools capital programme was a spend of £46.969m against a total budget of £62.916m. This represented expenditure of 75% against the budget. This is slightly lower than the figure of 84% reported at Q3. The main reasons for the slippage are as follows:</w:t>
      </w:r>
    </w:p>
    <w:p w:rsidR="00B906F7" w:rsidRPr="00074EF4" w:rsidRDefault="00B906F7" w:rsidP="00074EF4">
      <w:pPr>
        <w:ind w:right="304"/>
        <w:jc w:val="both"/>
        <w:rPr>
          <w:rFonts w:cs="Arial"/>
          <w:color w:val="FF0000"/>
          <w:szCs w:val="24"/>
        </w:rPr>
      </w:pPr>
    </w:p>
    <w:p w:rsidR="00E22AAE" w:rsidRPr="00E22AAE" w:rsidRDefault="00E22AAE" w:rsidP="00074EF4">
      <w:pPr>
        <w:suppressAutoHyphens/>
        <w:ind w:firstLine="720"/>
        <w:rPr>
          <w:rFonts w:cs="Arial"/>
          <w:szCs w:val="24"/>
          <w:lang w:eastAsia="ar-SA"/>
        </w:rPr>
      </w:pPr>
      <w:r w:rsidRPr="00E22AAE">
        <w:rPr>
          <w:rFonts w:cs="Arial"/>
          <w:szCs w:val="24"/>
          <w:lang w:eastAsia="ar-SA"/>
        </w:rPr>
        <w:t>The main reasons for the slippage</w:t>
      </w:r>
      <w:r w:rsidR="003D307F">
        <w:rPr>
          <w:rFonts w:cs="Arial"/>
          <w:szCs w:val="24"/>
          <w:lang w:eastAsia="ar-SA"/>
        </w:rPr>
        <w:t>s</w:t>
      </w:r>
      <w:r w:rsidRPr="00E22AAE">
        <w:rPr>
          <w:rFonts w:cs="Arial"/>
          <w:szCs w:val="24"/>
          <w:lang w:eastAsia="ar-SA"/>
        </w:rPr>
        <w:t xml:space="preserve"> are as follows:</w:t>
      </w:r>
    </w:p>
    <w:p w:rsidR="00E22AAE" w:rsidRDefault="00E22AAE" w:rsidP="00074EF4">
      <w:pPr>
        <w:suppressAutoHyphens/>
        <w:ind w:firstLine="720"/>
        <w:rPr>
          <w:rFonts w:cs="Arial"/>
          <w:b/>
          <w:szCs w:val="24"/>
          <w:lang w:eastAsia="ar-SA"/>
        </w:rPr>
      </w:pPr>
    </w:p>
    <w:p w:rsidR="00864EF6" w:rsidRDefault="00864EF6" w:rsidP="003824AA">
      <w:pPr>
        <w:suppressAutoHyphens/>
        <w:ind w:firstLine="720"/>
        <w:rPr>
          <w:rFonts w:cs="Arial"/>
          <w:b/>
          <w:szCs w:val="24"/>
          <w:lang w:eastAsia="ar-SA"/>
        </w:rPr>
      </w:pPr>
    </w:p>
    <w:p w:rsidR="00864EF6" w:rsidRDefault="00864EF6" w:rsidP="003824AA">
      <w:pPr>
        <w:suppressAutoHyphens/>
        <w:ind w:firstLine="720"/>
        <w:rPr>
          <w:rFonts w:cs="Arial"/>
          <w:b/>
          <w:szCs w:val="24"/>
          <w:lang w:eastAsia="ar-SA"/>
        </w:rPr>
      </w:pPr>
    </w:p>
    <w:p w:rsidR="008C24E0" w:rsidRPr="008C24E0" w:rsidRDefault="008C24E0" w:rsidP="003824AA">
      <w:pPr>
        <w:suppressAutoHyphens/>
        <w:ind w:firstLine="720"/>
        <w:rPr>
          <w:rFonts w:cs="Arial"/>
          <w:b/>
          <w:szCs w:val="24"/>
          <w:lang w:eastAsia="ar-SA"/>
        </w:rPr>
      </w:pPr>
      <w:r w:rsidRPr="008C24E0">
        <w:rPr>
          <w:rFonts w:cs="Arial"/>
          <w:b/>
          <w:szCs w:val="24"/>
          <w:lang w:eastAsia="ar-SA"/>
        </w:rPr>
        <w:lastRenderedPageBreak/>
        <w:t>Capital maintenance £1.012m</w:t>
      </w:r>
    </w:p>
    <w:p w:rsidR="008C24E0" w:rsidRPr="008C24E0" w:rsidRDefault="008C24E0" w:rsidP="003824AA">
      <w:pPr>
        <w:suppressAutoHyphens/>
        <w:ind w:left="720"/>
        <w:rPr>
          <w:rFonts w:cs="Arial"/>
          <w:szCs w:val="24"/>
          <w:lang w:eastAsia="ar-SA"/>
        </w:rPr>
      </w:pPr>
      <w:r w:rsidRPr="008C24E0">
        <w:rPr>
          <w:rFonts w:cs="Arial"/>
          <w:szCs w:val="24"/>
          <w:lang w:eastAsia="ar-SA"/>
        </w:rPr>
        <w:t>Condition and measure surveys have been carried out across the whole school estate and when this is finalised it will provide a programme of work against which this budget will be committed</w:t>
      </w:r>
    </w:p>
    <w:p w:rsidR="008C24E0" w:rsidRPr="008C24E0" w:rsidRDefault="008C24E0" w:rsidP="008C24E0">
      <w:pPr>
        <w:suppressAutoHyphens/>
        <w:rPr>
          <w:rFonts w:cs="Arial"/>
          <w:szCs w:val="24"/>
          <w:lang w:eastAsia="ar-SA"/>
        </w:rPr>
      </w:pPr>
    </w:p>
    <w:p w:rsidR="008C24E0" w:rsidRPr="008C24E0" w:rsidRDefault="008C24E0" w:rsidP="008C24E0">
      <w:pPr>
        <w:autoSpaceDE w:val="0"/>
        <w:autoSpaceDN w:val="0"/>
        <w:adjustRightInd w:val="0"/>
        <w:rPr>
          <w:rFonts w:cs="Arial"/>
          <w:color w:val="000000"/>
          <w:szCs w:val="24"/>
          <w:lang w:eastAsia="en-GB"/>
        </w:rPr>
      </w:pPr>
    </w:p>
    <w:p w:rsidR="008C24E0" w:rsidRPr="008C24E0" w:rsidRDefault="008C24E0" w:rsidP="003824AA">
      <w:pPr>
        <w:autoSpaceDE w:val="0"/>
        <w:autoSpaceDN w:val="0"/>
        <w:adjustRightInd w:val="0"/>
        <w:ind w:firstLine="720"/>
        <w:rPr>
          <w:rFonts w:cs="Arial"/>
          <w:b/>
          <w:color w:val="000000"/>
          <w:szCs w:val="24"/>
          <w:lang w:eastAsia="en-GB"/>
        </w:rPr>
      </w:pPr>
      <w:r w:rsidRPr="008C24E0">
        <w:rPr>
          <w:rFonts w:cs="Arial"/>
          <w:b/>
          <w:color w:val="000000"/>
          <w:szCs w:val="24"/>
          <w:lang w:eastAsia="en-GB"/>
        </w:rPr>
        <w:t>Primary Expansion 2, Secondary &amp; Special Educational Needs £3.178m</w:t>
      </w:r>
    </w:p>
    <w:p w:rsidR="008C24E0" w:rsidRPr="008C24E0" w:rsidRDefault="008C24E0" w:rsidP="003824AA">
      <w:pPr>
        <w:autoSpaceDE w:val="0"/>
        <w:autoSpaceDN w:val="0"/>
        <w:adjustRightInd w:val="0"/>
        <w:ind w:left="720"/>
        <w:rPr>
          <w:rFonts w:cs="Arial"/>
          <w:color w:val="000000"/>
          <w:szCs w:val="24"/>
          <w:lang w:eastAsia="en-GB"/>
        </w:rPr>
      </w:pPr>
      <w:r w:rsidRPr="008C24E0">
        <w:rPr>
          <w:rFonts w:cs="Arial"/>
          <w:color w:val="000000"/>
          <w:szCs w:val="24"/>
          <w:lang w:eastAsia="en-GB"/>
        </w:rPr>
        <w:t xml:space="preserve">The majority of the school expansion programme has been carried out by Keepmoat, the Council’s Framework Partner, under Phase 1 (SEP1) and Phase 2 (SEP2). This is a complex programme and at the height of the programme there were 29 live sites. Unfortunately, there have been delays and challenges across the SEP1&amp;2 programmes which have inevitably impacted adversely on schools and the completion of the programme. Most of the SEP1&amp;2 projects in the current programme are now reaching Project Completion. The Children’s Capital Project Team are working to resolve a number of building issues which have come to light during the 12 months defects liability period and are liaising with Keepmoat on these issues to seek an urgent resolution. Keepmoat will continue to have direct liability for building defects during the defects liability period and beyond should the defect be found to be a major issue. Harrow's Technical Advisors MACE and T&amp;T are currently reviewing the SEP1&amp;2 final accounts. </w:t>
      </w:r>
    </w:p>
    <w:p w:rsidR="008C24E0" w:rsidRPr="008C24E0" w:rsidRDefault="008C24E0" w:rsidP="008C24E0">
      <w:pPr>
        <w:suppressAutoHyphens/>
        <w:rPr>
          <w:rFonts w:cs="Arial"/>
          <w:szCs w:val="24"/>
          <w:lang w:eastAsia="ar-SA"/>
        </w:rPr>
      </w:pPr>
    </w:p>
    <w:p w:rsidR="008C24E0" w:rsidRPr="008C24E0" w:rsidRDefault="008C24E0" w:rsidP="003824AA">
      <w:pPr>
        <w:suppressAutoHyphens/>
        <w:ind w:firstLine="720"/>
        <w:rPr>
          <w:rFonts w:cs="Arial"/>
          <w:b/>
          <w:szCs w:val="24"/>
          <w:lang w:eastAsia="ar-SA"/>
        </w:rPr>
      </w:pPr>
      <w:r w:rsidRPr="008C24E0">
        <w:rPr>
          <w:rFonts w:cs="Arial"/>
          <w:b/>
          <w:szCs w:val="24"/>
          <w:lang w:eastAsia="ar-SA"/>
        </w:rPr>
        <w:t>Primary Expansion 3 £9.016m</w:t>
      </w:r>
    </w:p>
    <w:p w:rsidR="008C24E0" w:rsidRPr="008C24E0" w:rsidRDefault="008C24E0" w:rsidP="003824AA">
      <w:pPr>
        <w:autoSpaceDE w:val="0"/>
        <w:autoSpaceDN w:val="0"/>
        <w:adjustRightInd w:val="0"/>
        <w:ind w:left="720"/>
        <w:rPr>
          <w:rFonts w:cs="Arial"/>
          <w:color w:val="000000"/>
          <w:szCs w:val="24"/>
          <w:lang w:eastAsia="en-GB"/>
        </w:rPr>
      </w:pPr>
      <w:r w:rsidRPr="008C24E0">
        <w:rPr>
          <w:rFonts w:cs="Arial"/>
          <w:color w:val="000000"/>
          <w:szCs w:val="24"/>
          <w:lang w:eastAsia="en-GB"/>
        </w:rPr>
        <w:t xml:space="preserve">Planning applications for three of the school expansion projects were approved by Planning Committee in February 2016. The fourth project is on a slightly later timeline. However, the completion of these projects is still planned to be by Summer 2017. Within the programmes, there will be appropriate accommodation for the additional intakes of pupils in September 2016. This may require provision of temporary accommodation for a few weeks. </w:t>
      </w:r>
    </w:p>
    <w:p w:rsidR="008C24E0" w:rsidRPr="008C24E0" w:rsidRDefault="008C24E0" w:rsidP="008C24E0">
      <w:pPr>
        <w:autoSpaceDE w:val="0"/>
        <w:autoSpaceDN w:val="0"/>
        <w:adjustRightInd w:val="0"/>
        <w:rPr>
          <w:rFonts w:cs="Arial"/>
          <w:color w:val="000000"/>
          <w:szCs w:val="24"/>
          <w:lang w:eastAsia="en-GB"/>
        </w:rPr>
      </w:pPr>
    </w:p>
    <w:p w:rsidR="008C24E0" w:rsidRPr="008C24E0" w:rsidRDefault="008C24E0" w:rsidP="003824AA">
      <w:pPr>
        <w:autoSpaceDE w:val="0"/>
        <w:autoSpaceDN w:val="0"/>
        <w:adjustRightInd w:val="0"/>
        <w:ind w:firstLine="720"/>
        <w:rPr>
          <w:rFonts w:cs="Arial"/>
          <w:b/>
          <w:color w:val="000000"/>
          <w:szCs w:val="24"/>
          <w:lang w:eastAsia="en-GB"/>
        </w:rPr>
      </w:pPr>
      <w:r w:rsidRPr="008C24E0">
        <w:rPr>
          <w:rFonts w:cs="Arial"/>
          <w:b/>
          <w:color w:val="000000"/>
          <w:szCs w:val="24"/>
          <w:lang w:eastAsia="en-GB"/>
        </w:rPr>
        <w:t>School Expansion Programme overview</w:t>
      </w:r>
    </w:p>
    <w:p w:rsidR="008C24E0" w:rsidRPr="008C24E0" w:rsidRDefault="008C24E0" w:rsidP="008C24E0">
      <w:pPr>
        <w:numPr>
          <w:ilvl w:val="0"/>
          <w:numId w:val="42"/>
        </w:numPr>
        <w:suppressAutoHyphens/>
        <w:autoSpaceDE w:val="0"/>
        <w:autoSpaceDN w:val="0"/>
        <w:adjustRightInd w:val="0"/>
        <w:spacing w:after="37"/>
        <w:ind w:left="720"/>
        <w:rPr>
          <w:rFonts w:cs="Arial"/>
          <w:color w:val="000000"/>
          <w:szCs w:val="24"/>
          <w:lang w:eastAsia="en-GB"/>
        </w:rPr>
      </w:pPr>
      <w:r w:rsidRPr="008C24E0">
        <w:rPr>
          <w:rFonts w:cs="Arial"/>
          <w:color w:val="000000"/>
          <w:szCs w:val="24"/>
          <w:lang w:eastAsia="en-GB"/>
        </w:rPr>
        <w:t xml:space="preserve">26 additional permanent Reception forms of entry have been created through the expansion of existing schools, which is over half of Harrow’s primary schools; </w:t>
      </w:r>
    </w:p>
    <w:p w:rsidR="008C24E0" w:rsidRPr="008C24E0" w:rsidRDefault="008C24E0" w:rsidP="008C24E0">
      <w:pPr>
        <w:numPr>
          <w:ilvl w:val="0"/>
          <w:numId w:val="42"/>
        </w:numPr>
        <w:suppressAutoHyphens/>
        <w:autoSpaceDE w:val="0"/>
        <w:autoSpaceDN w:val="0"/>
        <w:adjustRightInd w:val="0"/>
        <w:spacing w:after="37"/>
        <w:ind w:left="720"/>
        <w:rPr>
          <w:rFonts w:cs="Arial"/>
          <w:color w:val="000000"/>
          <w:szCs w:val="24"/>
          <w:lang w:eastAsia="en-GB"/>
        </w:rPr>
      </w:pPr>
      <w:r w:rsidRPr="008C24E0">
        <w:rPr>
          <w:rFonts w:cs="Arial"/>
          <w:color w:val="000000"/>
          <w:szCs w:val="24"/>
          <w:lang w:eastAsia="en-GB"/>
        </w:rPr>
        <w:t xml:space="preserve">six additional permanent Year 7 forms of entry have been created through the expansion of two existing schools; </w:t>
      </w:r>
    </w:p>
    <w:p w:rsidR="008C24E0" w:rsidRPr="008C24E0" w:rsidRDefault="008C24E0" w:rsidP="008C24E0">
      <w:pPr>
        <w:numPr>
          <w:ilvl w:val="0"/>
          <w:numId w:val="42"/>
        </w:numPr>
        <w:suppressAutoHyphens/>
        <w:autoSpaceDE w:val="0"/>
        <w:autoSpaceDN w:val="0"/>
        <w:adjustRightInd w:val="0"/>
        <w:spacing w:after="37"/>
        <w:ind w:left="720"/>
        <w:rPr>
          <w:rFonts w:cs="Arial"/>
          <w:color w:val="000000"/>
          <w:szCs w:val="24"/>
          <w:lang w:eastAsia="en-GB"/>
        </w:rPr>
      </w:pPr>
      <w:r w:rsidRPr="008C24E0">
        <w:rPr>
          <w:rFonts w:cs="Arial"/>
          <w:color w:val="000000"/>
          <w:szCs w:val="24"/>
          <w:lang w:eastAsia="en-GB"/>
        </w:rPr>
        <w:t xml:space="preserve">six schools have opened additional special educational needs places. </w:t>
      </w:r>
    </w:p>
    <w:p w:rsidR="00E050FB" w:rsidRPr="00E050FB" w:rsidRDefault="00E050FB" w:rsidP="00E050FB">
      <w:pPr>
        <w:suppressAutoHyphens/>
        <w:rPr>
          <w:rFonts w:cs="Arial"/>
          <w:szCs w:val="24"/>
          <w:lang w:eastAsia="ar-SA"/>
        </w:rPr>
      </w:pPr>
    </w:p>
    <w:p w:rsidR="00EC2497" w:rsidRDefault="00EC2497" w:rsidP="003824AA">
      <w:pPr>
        <w:suppressAutoHyphens/>
        <w:autoSpaceDE w:val="0"/>
        <w:autoSpaceDN w:val="0"/>
        <w:adjustRightInd w:val="0"/>
        <w:spacing w:after="37"/>
        <w:ind w:firstLine="720"/>
        <w:rPr>
          <w:rFonts w:cs="Arial"/>
          <w:b/>
          <w:color w:val="000000"/>
          <w:szCs w:val="24"/>
          <w:lang w:eastAsia="en-GB"/>
        </w:rPr>
      </w:pPr>
      <w:r w:rsidRPr="00074EF4">
        <w:rPr>
          <w:rFonts w:cs="Arial"/>
          <w:b/>
          <w:color w:val="000000"/>
          <w:szCs w:val="24"/>
          <w:lang w:eastAsia="en-GB"/>
        </w:rPr>
        <w:t>Adult Services</w:t>
      </w:r>
    </w:p>
    <w:p w:rsidR="00EC2497" w:rsidRPr="00074EF4" w:rsidRDefault="003D21A4" w:rsidP="003824AA">
      <w:pPr>
        <w:pStyle w:val="ListParagraph"/>
        <w:numPr>
          <w:ilvl w:val="0"/>
          <w:numId w:val="3"/>
        </w:numPr>
        <w:tabs>
          <w:tab w:val="clear" w:pos="1080"/>
          <w:tab w:val="num" w:pos="709"/>
        </w:tabs>
        <w:suppressAutoHyphens/>
        <w:autoSpaceDE w:val="0"/>
        <w:autoSpaceDN w:val="0"/>
        <w:adjustRightInd w:val="0"/>
        <w:spacing w:after="37"/>
        <w:ind w:left="709" w:hanging="709"/>
        <w:rPr>
          <w:rFonts w:cs="Arial"/>
          <w:b/>
          <w:color w:val="000000"/>
          <w:szCs w:val="24"/>
          <w:lang w:eastAsia="en-GB"/>
        </w:rPr>
      </w:pPr>
      <w:r>
        <w:rPr>
          <w:rFonts w:cs="Arial"/>
          <w:color w:val="000000"/>
          <w:szCs w:val="24"/>
          <w:lang w:eastAsia="en-GB"/>
        </w:rPr>
        <w:t>The service</w:t>
      </w:r>
      <w:r w:rsidR="00EC2497">
        <w:rPr>
          <w:rFonts w:cs="Arial"/>
          <w:color w:val="000000"/>
          <w:szCs w:val="24"/>
          <w:lang w:eastAsia="en-GB"/>
        </w:rPr>
        <w:t xml:space="preserve"> </w:t>
      </w:r>
      <w:r w:rsidR="00EC2497">
        <w:t>spent £452k against a budget of £4.003m, a 11.3% spend. £3.351m of the £3.531m variance has been slipped to 2016/17 with an underspend on the programme of £200k. There have been delays on a number of schemes within the programme resulting in slippage. The most significant ones are:</w:t>
      </w:r>
    </w:p>
    <w:p w:rsidR="00EC2497" w:rsidRDefault="00EC2497" w:rsidP="00074EF4">
      <w:pPr>
        <w:suppressAutoHyphens/>
        <w:autoSpaceDE w:val="0"/>
        <w:autoSpaceDN w:val="0"/>
        <w:adjustRightInd w:val="0"/>
        <w:spacing w:after="37"/>
        <w:rPr>
          <w:rFonts w:cs="Arial"/>
          <w:b/>
          <w:color w:val="000000"/>
          <w:szCs w:val="24"/>
          <w:lang w:eastAsia="en-GB"/>
        </w:rPr>
      </w:pPr>
    </w:p>
    <w:p w:rsidR="00EC2497" w:rsidRPr="00074EF4" w:rsidRDefault="00EC2497" w:rsidP="00EC2497">
      <w:pPr>
        <w:numPr>
          <w:ilvl w:val="1"/>
          <w:numId w:val="44"/>
        </w:numPr>
        <w:suppressAutoHyphens/>
        <w:autoSpaceDE w:val="0"/>
        <w:autoSpaceDN w:val="0"/>
        <w:adjustRightInd w:val="0"/>
        <w:spacing w:after="37"/>
        <w:rPr>
          <w:rFonts w:cs="Arial"/>
          <w:color w:val="000000"/>
          <w:szCs w:val="24"/>
          <w:lang w:eastAsia="en-GB"/>
        </w:rPr>
      </w:pPr>
      <w:r w:rsidRPr="00074EF4">
        <w:rPr>
          <w:rFonts w:cs="Arial"/>
          <w:color w:val="000000"/>
          <w:szCs w:val="24"/>
          <w:lang w:eastAsia="en-GB"/>
        </w:rPr>
        <w:t>Mosaic £0.606m. Delivery is planned in 2016/17. Discussions with taken place with new IT provider as to how the asset will be delivered.</w:t>
      </w:r>
    </w:p>
    <w:p w:rsidR="00EC2497" w:rsidRPr="00074EF4" w:rsidRDefault="00EC2497" w:rsidP="00EC2497">
      <w:pPr>
        <w:numPr>
          <w:ilvl w:val="1"/>
          <w:numId w:val="44"/>
        </w:numPr>
        <w:suppressAutoHyphens/>
        <w:autoSpaceDE w:val="0"/>
        <w:autoSpaceDN w:val="0"/>
        <w:adjustRightInd w:val="0"/>
        <w:spacing w:after="37"/>
        <w:rPr>
          <w:rFonts w:cs="Arial"/>
          <w:color w:val="000000"/>
          <w:szCs w:val="24"/>
          <w:lang w:eastAsia="en-GB"/>
        </w:rPr>
      </w:pPr>
      <w:r w:rsidRPr="00074EF4">
        <w:rPr>
          <w:rFonts w:cs="Arial"/>
          <w:color w:val="000000"/>
          <w:szCs w:val="24"/>
          <w:lang w:eastAsia="en-GB"/>
        </w:rPr>
        <w:t>Remodelling and refurbishment of Adult Residential Care and Day Care services £0.508m. Budget is to be slipped into 2016/17 whilst a review of deliverables and asset development is reviewed.</w:t>
      </w:r>
    </w:p>
    <w:p w:rsidR="00EC2497" w:rsidRPr="00074EF4" w:rsidRDefault="00EC2497" w:rsidP="00EC2497">
      <w:pPr>
        <w:numPr>
          <w:ilvl w:val="1"/>
          <w:numId w:val="44"/>
        </w:numPr>
        <w:suppressAutoHyphens/>
        <w:autoSpaceDE w:val="0"/>
        <w:autoSpaceDN w:val="0"/>
        <w:adjustRightInd w:val="0"/>
        <w:spacing w:after="37"/>
        <w:rPr>
          <w:rFonts w:cs="Arial"/>
          <w:color w:val="000000"/>
          <w:szCs w:val="24"/>
          <w:lang w:eastAsia="en-GB"/>
        </w:rPr>
      </w:pPr>
      <w:r w:rsidRPr="00074EF4">
        <w:rPr>
          <w:rFonts w:cs="Arial"/>
          <w:color w:val="000000"/>
          <w:szCs w:val="24"/>
          <w:lang w:eastAsia="en-GB"/>
        </w:rPr>
        <w:t>Safeguarding Quality Assurance Quadrants (QAQ) £168k. Deployment of new IT solutions for reporting of social care information have slipped owing to delays in the delivery of the Mosaic Implementation Project. Monies to be slipped in order to support delivery in 2016/17.</w:t>
      </w:r>
    </w:p>
    <w:p w:rsidR="00EC2497" w:rsidRDefault="00EC2497" w:rsidP="00EC2497">
      <w:pPr>
        <w:numPr>
          <w:ilvl w:val="1"/>
          <w:numId w:val="44"/>
        </w:numPr>
        <w:suppressAutoHyphens/>
        <w:autoSpaceDE w:val="0"/>
        <w:autoSpaceDN w:val="0"/>
        <w:adjustRightInd w:val="0"/>
        <w:spacing w:after="37"/>
        <w:rPr>
          <w:rFonts w:cs="Arial"/>
          <w:color w:val="000000"/>
          <w:szCs w:val="24"/>
          <w:lang w:eastAsia="en-GB"/>
        </w:rPr>
      </w:pPr>
      <w:r w:rsidRPr="00074EF4">
        <w:rPr>
          <w:rFonts w:cs="Arial"/>
          <w:color w:val="000000"/>
          <w:szCs w:val="24"/>
          <w:lang w:eastAsia="en-GB"/>
        </w:rPr>
        <w:lastRenderedPageBreak/>
        <w:t>Reform of Social Care Funding £0.800m. Development of assets through WLA has slipped.</w:t>
      </w:r>
    </w:p>
    <w:p w:rsidR="00EC2497" w:rsidRDefault="00EC2497" w:rsidP="00074EF4">
      <w:pPr>
        <w:suppressAutoHyphens/>
        <w:autoSpaceDE w:val="0"/>
        <w:autoSpaceDN w:val="0"/>
        <w:adjustRightInd w:val="0"/>
        <w:spacing w:after="37"/>
        <w:ind w:left="1094"/>
        <w:rPr>
          <w:rFonts w:cs="Arial"/>
          <w:color w:val="000000"/>
          <w:szCs w:val="24"/>
          <w:lang w:eastAsia="en-GB"/>
        </w:rPr>
      </w:pPr>
    </w:p>
    <w:p w:rsidR="00EC2497" w:rsidRPr="0017012B" w:rsidRDefault="00EC2497" w:rsidP="00074EF4">
      <w:pPr>
        <w:suppressAutoHyphens/>
        <w:autoSpaceDE w:val="0"/>
        <w:autoSpaceDN w:val="0"/>
        <w:adjustRightInd w:val="0"/>
        <w:spacing w:after="37"/>
        <w:ind w:left="1094" w:hanging="527"/>
        <w:rPr>
          <w:rFonts w:cs="Arial"/>
          <w:b/>
          <w:color w:val="000000"/>
          <w:szCs w:val="24"/>
          <w:lang w:eastAsia="en-GB"/>
        </w:rPr>
      </w:pPr>
      <w:r w:rsidRPr="00074EF4">
        <w:rPr>
          <w:rFonts w:cs="Arial"/>
          <w:b/>
          <w:color w:val="000000"/>
          <w:szCs w:val="24"/>
          <w:lang w:eastAsia="en-GB"/>
        </w:rPr>
        <w:t>Regeneration, Enterprise and Planning</w:t>
      </w:r>
    </w:p>
    <w:p w:rsidR="00EC2497" w:rsidRPr="00EC7648" w:rsidRDefault="0017012B" w:rsidP="003824AA">
      <w:pPr>
        <w:pStyle w:val="ListParagraph"/>
        <w:numPr>
          <w:ilvl w:val="0"/>
          <w:numId w:val="3"/>
        </w:numPr>
        <w:tabs>
          <w:tab w:val="clear" w:pos="1080"/>
          <w:tab w:val="num" w:pos="567"/>
        </w:tabs>
        <w:ind w:left="567" w:right="304" w:hanging="567"/>
        <w:jc w:val="both"/>
        <w:rPr>
          <w:rFonts w:cs="Arial"/>
          <w:b/>
          <w:bCs/>
          <w:szCs w:val="24"/>
        </w:rPr>
      </w:pPr>
      <w:r w:rsidRPr="00074EF4">
        <w:rPr>
          <w:rFonts w:cs="Arial"/>
          <w:bCs/>
          <w:szCs w:val="24"/>
        </w:rPr>
        <w:t>The division has</w:t>
      </w:r>
      <w:r>
        <w:rPr>
          <w:rFonts w:cs="Arial"/>
          <w:b/>
          <w:bCs/>
          <w:szCs w:val="24"/>
        </w:rPr>
        <w:t xml:space="preserve"> </w:t>
      </w:r>
      <w:r w:rsidRPr="003B1AE4">
        <w:rPr>
          <w:rFonts w:cs="Arial"/>
          <w:szCs w:val="24"/>
        </w:rPr>
        <w:t>embarked on a major regeneration programme which will see a new civic centre and some 5,500 new homes within the Heart of Harrow Opportunity Area and will provide a major impetus for business development, creating around 3,000 new jobs overall.</w:t>
      </w:r>
    </w:p>
    <w:p w:rsidR="00EC2497" w:rsidRPr="003B1AE4" w:rsidRDefault="00EC2497" w:rsidP="00EC2497">
      <w:pPr>
        <w:ind w:left="502" w:right="304"/>
        <w:jc w:val="both"/>
        <w:rPr>
          <w:rFonts w:cs="Arial"/>
          <w:szCs w:val="24"/>
        </w:rPr>
      </w:pPr>
    </w:p>
    <w:p w:rsidR="00EC2497" w:rsidRPr="003B1AE4" w:rsidRDefault="00EC2497" w:rsidP="00EC2497">
      <w:pPr>
        <w:ind w:left="502" w:right="304"/>
        <w:jc w:val="both"/>
        <w:rPr>
          <w:rFonts w:cs="Arial"/>
          <w:szCs w:val="24"/>
        </w:rPr>
      </w:pPr>
      <w:r w:rsidRPr="003B1AE4">
        <w:rPr>
          <w:rFonts w:cs="Arial"/>
          <w:szCs w:val="24"/>
        </w:rPr>
        <w:t xml:space="preserve">The division spent £1.209m against a budget of £4.473m, a 27% spend. £3.265m of the variance has been slipped to 2016/17. </w:t>
      </w:r>
    </w:p>
    <w:p w:rsidR="00EC2497" w:rsidRPr="003B1AE4" w:rsidRDefault="00EC2497" w:rsidP="00EC2497">
      <w:pPr>
        <w:ind w:left="502" w:right="304"/>
        <w:jc w:val="both"/>
        <w:rPr>
          <w:rFonts w:cs="Arial"/>
          <w:szCs w:val="24"/>
        </w:rPr>
      </w:pPr>
    </w:p>
    <w:p w:rsidR="00EC2497" w:rsidRPr="003B1AE4" w:rsidRDefault="00EC2497" w:rsidP="00EC2497">
      <w:pPr>
        <w:ind w:left="502" w:right="304"/>
        <w:jc w:val="both"/>
        <w:rPr>
          <w:rFonts w:cs="Arial"/>
          <w:szCs w:val="24"/>
        </w:rPr>
      </w:pPr>
      <w:r w:rsidRPr="003B1AE4">
        <w:rPr>
          <w:rFonts w:cs="Arial"/>
          <w:szCs w:val="24"/>
        </w:rPr>
        <w:t>Some of key projects and outcomes were:</w:t>
      </w:r>
    </w:p>
    <w:p w:rsidR="00EC2497" w:rsidRPr="003B1AE4" w:rsidRDefault="00EC2497" w:rsidP="00EC2497">
      <w:pPr>
        <w:ind w:left="502" w:right="304"/>
        <w:jc w:val="both"/>
        <w:rPr>
          <w:rFonts w:cs="Arial"/>
          <w:szCs w:val="24"/>
        </w:rPr>
      </w:pPr>
    </w:p>
    <w:p w:rsidR="00EC2497" w:rsidRPr="003B1AE4" w:rsidRDefault="00EC2497" w:rsidP="00EC2497">
      <w:pPr>
        <w:numPr>
          <w:ilvl w:val="0"/>
          <w:numId w:val="41"/>
        </w:numPr>
        <w:ind w:right="304"/>
        <w:jc w:val="both"/>
        <w:rPr>
          <w:rFonts w:cs="Arial"/>
          <w:szCs w:val="24"/>
        </w:rPr>
      </w:pPr>
      <w:r w:rsidRPr="003B1AE4">
        <w:rPr>
          <w:rFonts w:cs="Arial"/>
          <w:szCs w:val="24"/>
        </w:rPr>
        <w:t>Harrow Deal: an online platform for local businesses to promote their businesses and offer discounts to Harrow residents</w:t>
      </w:r>
    </w:p>
    <w:p w:rsidR="00EC2497" w:rsidRDefault="00EC2497" w:rsidP="00EC2497">
      <w:pPr>
        <w:numPr>
          <w:ilvl w:val="0"/>
          <w:numId w:val="41"/>
        </w:numPr>
        <w:ind w:right="304"/>
        <w:jc w:val="both"/>
        <w:rPr>
          <w:rFonts w:cs="Arial"/>
          <w:szCs w:val="24"/>
        </w:rPr>
      </w:pPr>
      <w:r w:rsidRPr="003B1AE4">
        <w:rPr>
          <w:rFonts w:cs="Arial"/>
          <w:szCs w:val="24"/>
        </w:rPr>
        <w:t>Station Road (High Street Fund): Improvement to the public realm, creating an identity for the Station Road corridor and engaging businesses and their employees to achieve a sense of ownership, relevance and sustainability. The project is on-going into 16/17.</w:t>
      </w:r>
    </w:p>
    <w:p w:rsidR="00EC2497" w:rsidRDefault="00EC2497" w:rsidP="00EC2497">
      <w:pPr>
        <w:numPr>
          <w:ilvl w:val="0"/>
          <w:numId w:val="41"/>
        </w:numPr>
        <w:ind w:right="304"/>
        <w:jc w:val="both"/>
        <w:rPr>
          <w:rFonts w:cs="Arial"/>
          <w:szCs w:val="24"/>
        </w:rPr>
      </w:pPr>
      <w:r>
        <w:rPr>
          <w:rFonts w:cs="Arial"/>
          <w:szCs w:val="24"/>
        </w:rPr>
        <w:t xml:space="preserve">Regeneration Programme: Master </w:t>
      </w:r>
      <w:r w:rsidRPr="003B1AE4">
        <w:rPr>
          <w:rFonts w:cs="Arial"/>
          <w:szCs w:val="24"/>
        </w:rPr>
        <w:t>planning work has commenced at various sites. A design team has been appointed for Station Road Quarter to take forward the scheme. A PRS pilot scheme at Haslam House started in 15/16 and is planned to be completed during 16/17</w:t>
      </w:r>
    </w:p>
    <w:p w:rsidR="00601DA5" w:rsidRDefault="00601DA5" w:rsidP="00601DA5">
      <w:pPr>
        <w:ind w:left="14" w:right="304"/>
        <w:jc w:val="both"/>
        <w:rPr>
          <w:rFonts w:cs="Arial"/>
          <w:color w:val="FF0000"/>
          <w:szCs w:val="24"/>
        </w:rPr>
      </w:pPr>
    </w:p>
    <w:p w:rsidR="00944063" w:rsidRPr="00944063" w:rsidRDefault="00944063" w:rsidP="003824AA">
      <w:pPr>
        <w:ind w:left="14" w:right="304" w:firstLine="695"/>
        <w:jc w:val="both"/>
        <w:rPr>
          <w:rFonts w:cs="Arial"/>
          <w:b/>
          <w:szCs w:val="24"/>
        </w:rPr>
      </w:pPr>
      <w:r w:rsidRPr="00944063">
        <w:rPr>
          <w:rFonts w:cs="Arial"/>
          <w:b/>
          <w:szCs w:val="24"/>
        </w:rPr>
        <w:t>Housing Revenue Account</w:t>
      </w:r>
    </w:p>
    <w:p w:rsidR="000A75D7" w:rsidRDefault="00944063" w:rsidP="003824AA">
      <w:pPr>
        <w:pStyle w:val="ListParagraph"/>
        <w:numPr>
          <w:ilvl w:val="0"/>
          <w:numId w:val="3"/>
        </w:numPr>
        <w:tabs>
          <w:tab w:val="clear" w:pos="1080"/>
          <w:tab w:val="num" w:pos="709"/>
        </w:tabs>
        <w:ind w:left="709" w:hanging="709"/>
      </w:pPr>
      <w:r w:rsidRPr="006E037A">
        <w:rPr>
          <w:rFonts w:cs="Arial"/>
          <w:szCs w:val="24"/>
        </w:rPr>
        <w:t xml:space="preserve">HRA </w:t>
      </w:r>
      <w:r w:rsidR="009E7168" w:rsidRPr="00B458AC">
        <w:rPr>
          <w:rFonts w:cs="Arial"/>
          <w:szCs w:val="24"/>
        </w:rPr>
        <w:t>spent £13.554m against a budget of £30.239m, including Homes-4-Harrow, a spend of 44.8%. £4.9</w:t>
      </w:r>
      <w:r w:rsidR="009E7168" w:rsidRPr="00F51289">
        <w:rPr>
          <w:rFonts w:cs="Arial"/>
          <w:szCs w:val="24"/>
        </w:rPr>
        <w:t>50m of the variance h</w:t>
      </w:r>
      <w:r w:rsidR="009E7168" w:rsidRPr="00C55A02">
        <w:rPr>
          <w:rFonts w:cs="Arial"/>
          <w:szCs w:val="24"/>
        </w:rPr>
        <w:t xml:space="preserve">as been slipped to 2016/17.  A further £11.735m, shown as underspend was included in the 2016/17 programme approved </w:t>
      </w:r>
      <w:r w:rsidR="009E7168" w:rsidRPr="00C60162">
        <w:rPr>
          <w:rFonts w:cs="Arial"/>
          <w:szCs w:val="24"/>
        </w:rPr>
        <w:t>by Cabinet in February.</w:t>
      </w:r>
      <w:r w:rsidR="000A75D7" w:rsidRPr="00C60162">
        <w:t xml:space="preserve"> With regard to  Homes-4-Harrow, demolition notices have been served for the Council’s Grange Farm Estate and right to buy applications have been suspended to enable the regeneration of the estate to proceed. The scheme is in the design phase with the planning application due to be submitted June 2016.  Properties are being brought back from leaseholders. A second tender has been issued for the Council’s Infill programme which is aimed at developing under-utilised pockets of Council land in and around the Borough and further planning applications submitted and permissions obtained.</w:t>
      </w:r>
    </w:p>
    <w:p w:rsidR="00CC1E0C" w:rsidRPr="00074EF4" w:rsidRDefault="00CC1E0C" w:rsidP="00C767C6">
      <w:pPr>
        <w:ind w:left="561" w:right="304" w:hanging="561"/>
        <w:jc w:val="both"/>
        <w:rPr>
          <w:rFonts w:cs="Arial"/>
          <w:b/>
          <w:color w:val="FF0000"/>
          <w:szCs w:val="24"/>
        </w:rPr>
      </w:pPr>
    </w:p>
    <w:p w:rsidR="00033CFC" w:rsidRPr="00074EF4" w:rsidRDefault="00033CFC" w:rsidP="003824AA">
      <w:pPr>
        <w:autoSpaceDE w:val="0"/>
        <w:autoSpaceDN w:val="0"/>
        <w:adjustRightInd w:val="0"/>
        <w:ind w:firstLine="720"/>
        <w:jc w:val="both"/>
        <w:rPr>
          <w:rFonts w:cs="Arial"/>
          <w:b/>
          <w:szCs w:val="24"/>
          <w:lang w:val="en-US"/>
        </w:rPr>
      </w:pPr>
      <w:r w:rsidRPr="00074EF4">
        <w:rPr>
          <w:rFonts w:cs="Arial"/>
          <w:b/>
          <w:szCs w:val="24"/>
          <w:lang w:val="en-US"/>
        </w:rPr>
        <w:t>TIMETABLE FOR ACCOUNTS COMPLETION AND EXTERNAL AUDIT REVIEW</w:t>
      </w:r>
    </w:p>
    <w:p w:rsidR="005104A9" w:rsidRDefault="00E22B82" w:rsidP="003824AA">
      <w:pPr>
        <w:pStyle w:val="ListParagraph"/>
        <w:numPr>
          <w:ilvl w:val="0"/>
          <w:numId w:val="3"/>
        </w:numPr>
        <w:tabs>
          <w:tab w:val="clear" w:pos="1080"/>
          <w:tab w:val="num" w:pos="709"/>
        </w:tabs>
        <w:autoSpaceDE w:val="0"/>
        <w:autoSpaceDN w:val="0"/>
        <w:adjustRightInd w:val="0"/>
        <w:ind w:left="709" w:hanging="709"/>
        <w:jc w:val="both"/>
        <w:rPr>
          <w:rFonts w:cs="Arial"/>
          <w:color w:val="FF0000"/>
          <w:szCs w:val="24"/>
          <w:lang w:val="en-US"/>
        </w:rPr>
      </w:pPr>
      <w:r w:rsidRPr="00074EF4">
        <w:rPr>
          <w:rFonts w:cs="Arial"/>
          <w:szCs w:val="24"/>
          <w:lang w:val="en-US"/>
        </w:rPr>
        <w:t>For the 2</w:t>
      </w:r>
      <w:r w:rsidRPr="00E22B82">
        <w:rPr>
          <w:rFonts w:cs="Arial"/>
        </w:rPr>
        <w:t>017</w:t>
      </w:r>
      <w:r>
        <w:rPr>
          <w:rFonts w:cs="Arial"/>
        </w:rPr>
        <w:t>/18 financial year, all Local Authorities must produce their draft Statement of Accounts by 31</w:t>
      </w:r>
      <w:r>
        <w:rPr>
          <w:rFonts w:cs="Arial"/>
          <w:vertAlign w:val="superscript"/>
        </w:rPr>
        <w:t>st</w:t>
      </w:r>
      <w:r>
        <w:rPr>
          <w:rFonts w:cs="Arial"/>
        </w:rPr>
        <w:t xml:space="preserve"> May (currently 30</w:t>
      </w:r>
      <w:r>
        <w:rPr>
          <w:rFonts w:cs="Arial"/>
          <w:vertAlign w:val="superscript"/>
        </w:rPr>
        <w:t>th</w:t>
      </w:r>
      <w:r>
        <w:rPr>
          <w:rFonts w:cs="Arial"/>
        </w:rPr>
        <w:t xml:space="preserve"> June) and have the accounts audited by 31</w:t>
      </w:r>
      <w:r>
        <w:rPr>
          <w:rFonts w:cs="Arial"/>
          <w:vertAlign w:val="superscript"/>
        </w:rPr>
        <w:t>st</w:t>
      </w:r>
      <w:r>
        <w:rPr>
          <w:rFonts w:cs="Arial"/>
        </w:rPr>
        <w:t xml:space="preserve"> July (currently 30</w:t>
      </w:r>
      <w:r>
        <w:rPr>
          <w:rFonts w:cs="Arial"/>
          <w:vertAlign w:val="superscript"/>
        </w:rPr>
        <w:t>th</w:t>
      </w:r>
      <w:r>
        <w:rPr>
          <w:rFonts w:cs="Arial"/>
        </w:rPr>
        <w:t xml:space="preserve"> September). In preparation for this, </w:t>
      </w:r>
      <w:r w:rsidR="005104A9">
        <w:rPr>
          <w:rFonts w:cs="Arial"/>
        </w:rPr>
        <w:t>Harrow is</w:t>
      </w:r>
      <w:r>
        <w:rPr>
          <w:rFonts w:cs="Arial"/>
        </w:rPr>
        <w:t xml:space="preserve"> having a “dry run” at the early closure of accounts</w:t>
      </w:r>
      <w:r w:rsidR="00B06F99">
        <w:rPr>
          <w:rFonts w:cs="Arial"/>
        </w:rPr>
        <w:t xml:space="preserve"> for 2015/16, </w:t>
      </w:r>
      <w:r>
        <w:rPr>
          <w:rFonts w:cs="Arial"/>
        </w:rPr>
        <w:t>before the legislation becomes mandatory</w:t>
      </w:r>
      <w:r w:rsidR="005104A9">
        <w:rPr>
          <w:rFonts w:cs="Arial"/>
        </w:rPr>
        <w:t xml:space="preserve">. Work is progressing on the production of the 2015/16 Statement of Accounts </w:t>
      </w:r>
      <w:r w:rsidR="006E037A">
        <w:rPr>
          <w:rFonts w:cs="Arial"/>
        </w:rPr>
        <w:t xml:space="preserve">and Pension Fund Accounts </w:t>
      </w:r>
      <w:r w:rsidR="005104A9">
        <w:rPr>
          <w:rFonts w:cs="Arial"/>
        </w:rPr>
        <w:t xml:space="preserve">with an expected completion date of early June, which will be a good achievement for this </w:t>
      </w:r>
      <w:r w:rsidR="005104A9" w:rsidRPr="005104A9">
        <w:rPr>
          <w:rFonts w:cs="Arial"/>
        </w:rPr>
        <w:t>practice run</w:t>
      </w:r>
      <w:r w:rsidR="005104A9" w:rsidRPr="00074EF4">
        <w:rPr>
          <w:rFonts w:cs="Arial"/>
          <w:szCs w:val="24"/>
          <w:lang w:val="en-US"/>
        </w:rPr>
        <w:t xml:space="preserve">. </w:t>
      </w:r>
    </w:p>
    <w:p w:rsidR="005104A9" w:rsidRDefault="005104A9" w:rsidP="00074EF4">
      <w:pPr>
        <w:pStyle w:val="ListParagraph"/>
        <w:autoSpaceDE w:val="0"/>
        <w:autoSpaceDN w:val="0"/>
        <w:adjustRightInd w:val="0"/>
        <w:ind w:left="502"/>
        <w:jc w:val="both"/>
        <w:rPr>
          <w:rFonts w:cs="Arial"/>
          <w:color w:val="FF0000"/>
          <w:szCs w:val="24"/>
          <w:lang w:val="en-US"/>
        </w:rPr>
      </w:pPr>
    </w:p>
    <w:p w:rsidR="005104A9" w:rsidRDefault="005104A9" w:rsidP="003824AA">
      <w:pPr>
        <w:pStyle w:val="ListParagraph"/>
        <w:numPr>
          <w:ilvl w:val="0"/>
          <w:numId w:val="3"/>
        </w:numPr>
        <w:tabs>
          <w:tab w:val="clear" w:pos="1080"/>
          <w:tab w:val="num" w:pos="709"/>
        </w:tabs>
        <w:autoSpaceDE w:val="0"/>
        <w:autoSpaceDN w:val="0"/>
        <w:adjustRightInd w:val="0"/>
        <w:ind w:left="709" w:hanging="709"/>
        <w:jc w:val="both"/>
        <w:rPr>
          <w:rFonts w:cs="Arial"/>
          <w:color w:val="FF0000"/>
          <w:szCs w:val="24"/>
          <w:lang w:val="en-US"/>
        </w:rPr>
      </w:pPr>
      <w:r w:rsidRPr="00074EF4">
        <w:rPr>
          <w:rFonts w:cs="Arial"/>
          <w:szCs w:val="24"/>
          <w:lang w:val="en-US"/>
        </w:rPr>
        <w:t xml:space="preserve">The </w:t>
      </w:r>
      <w:r>
        <w:rPr>
          <w:rFonts w:cs="Arial"/>
          <w:lang w:val="en-US"/>
        </w:rPr>
        <w:t xml:space="preserve">draft accounts will be considered by the Governance, Audit, Risk Management and Standards Committee (GARMS) at their July meeting. </w:t>
      </w:r>
      <w:r w:rsidR="00B06F99">
        <w:rPr>
          <w:rFonts w:cs="Arial"/>
          <w:lang w:val="en-US"/>
        </w:rPr>
        <w:t>The external auditors will start the audit on Monday 4</w:t>
      </w:r>
      <w:r w:rsidR="00B06F99" w:rsidRPr="00074EF4">
        <w:rPr>
          <w:rFonts w:cs="Arial"/>
          <w:vertAlign w:val="superscript"/>
          <w:lang w:val="en-US"/>
        </w:rPr>
        <w:t>th</w:t>
      </w:r>
      <w:r w:rsidR="00B06F99">
        <w:rPr>
          <w:rFonts w:cs="Arial"/>
          <w:lang w:val="en-US"/>
        </w:rPr>
        <w:t xml:space="preserve"> July. </w:t>
      </w:r>
      <w:r>
        <w:rPr>
          <w:rFonts w:cs="Arial"/>
          <w:lang w:val="en-US"/>
        </w:rPr>
        <w:t>The final accounts will be considered by the (GARMS) on 8</w:t>
      </w:r>
      <w:r>
        <w:rPr>
          <w:rFonts w:cs="Arial"/>
          <w:vertAlign w:val="superscript"/>
          <w:lang w:val="en-US"/>
        </w:rPr>
        <w:t>th</w:t>
      </w:r>
      <w:r>
        <w:rPr>
          <w:rFonts w:cs="Arial"/>
          <w:lang w:val="en-US"/>
        </w:rPr>
        <w:t xml:space="preserve"> September 2016 and must be signed off by the Council and the Auditor by the end of September</w:t>
      </w:r>
      <w:r w:rsidR="006E037A">
        <w:rPr>
          <w:rFonts w:cs="Arial"/>
          <w:lang w:val="en-US"/>
        </w:rPr>
        <w:t xml:space="preserve"> 2016</w:t>
      </w:r>
      <w:r>
        <w:rPr>
          <w:rFonts w:cs="Arial"/>
          <w:lang w:val="en-US"/>
        </w:rPr>
        <w:t>.</w:t>
      </w:r>
    </w:p>
    <w:p w:rsidR="00033CFC" w:rsidRDefault="00033CFC" w:rsidP="00074EF4">
      <w:pPr>
        <w:autoSpaceDE w:val="0"/>
        <w:autoSpaceDN w:val="0"/>
        <w:adjustRightInd w:val="0"/>
        <w:jc w:val="both"/>
        <w:rPr>
          <w:rFonts w:cs="Arial"/>
        </w:rPr>
      </w:pPr>
    </w:p>
    <w:p w:rsidR="001A7954" w:rsidRPr="00033CFC" w:rsidRDefault="001A7954" w:rsidP="00074EF4">
      <w:pPr>
        <w:autoSpaceDE w:val="0"/>
        <w:autoSpaceDN w:val="0"/>
        <w:adjustRightInd w:val="0"/>
        <w:jc w:val="both"/>
        <w:rPr>
          <w:rFonts w:cs="Arial"/>
        </w:rPr>
      </w:pPr>
    </w:p>
    <w:p w:rsidR="00E22550" w:rsidRDefault="00C767C6" w:rsidP="003824AA">
      <w:pPr>
        <w:ind w:firstLine="709"/>
        <w:jc w:val="both"/>
        <w:rPr>
          <w:b/>
        </w:rPr>
      </w:pPr>
      <w:r>
        <w:rPr>
          <w:b/>
        </w:rPr>
        <w:t>LEGAL IMPLICATIONS</w:t>
      </w:r>
    </w:p>
    <w:p w:rsidR="00630716" w:rsidRDefault="00630716" w:rsidP="003824AA">
      <w:pPr>
        <w:pStyle w:val="ListParagraph"/>
        <w:numPr>
          <w:ilvl w:val="0"/>
          <w:numId w:val="3"/>
        </w:numPr>
        <w:tabs>
          <w:tab w:val="clear" w:pos="1080"/>
          <w:tab w:val="num" w:pos="709"/>
        </w:tabs>
        <w:autoSpaceDE w:val="0"/>
        <w:autoSpaceDN w:val="0"/>
        <w:adjustRightInd w:val="0"/>
        <w:ind w:left="709" w:hanging="709"/>
        <w:jc w:val="both"/>
        <w:rPr>
          <w:rFonts w:cs="Arial"/>
          <w:szCs w:val="24"/>
          <w:lang w:val="en-US"/>
        </w:rPr>
      </w:pPr>
      <w:r w:rsidRPr="000F0C4F">
        <w:rPr>
          <w:rFonts w:cs="Arial"/>
          <w:szCs w:val="24"/>
          <w:lang w:val="en-US"/>
        </w:rPr>
        <w:t>Section 151 of the Local Government Act 1972 states that</w:t>
      </w:r>
      <w:r w:rsidR="006E037A">
        <w:rPr>
          <w:rFonts w:cs="Arial"/>
          <w:szCs w:val="24"/>
          <w:lang w:val="en-US"/>
        </w:rPr>
        <w:t>, “</w:t>
      </w:r>
      <w:r w:rsidRPr="000F0C4F">
        <w:rPr>
          <w:rFonts w:cs="Arial"/>
          <w:szCs w:val="24"/>
          <w:lang w:val="en-US"/>
        </w:rPr>
        <w:t xml:space="preserve">without prejudice to section 111, every local authority shall make arrangements for the proper administration of their financial affairs and shall secure that one of their officers has responsibility for the administration of those affairs” </w:t>
      </w:r>
    </w:p>
    <w:p w:rsidR="00342FA2" w:rsidRPr="00D36305" w:rsidRDefault="00342FA2" w:rsidP="00145C62">
      <w:pPr>
        <w:autoSpaceDE w:val="0"/>
        <w:autoSpaceDN w:val="0"/>
        <w:adjustRightInd w:val="0"/>
        <w:ind w:left="14"/>
        <w:jc w:val="both"/>
        <w:rPr>
          <w:rFonts w:cs="Arial"/>
          <w:szCs w:val="24"/>
          <w:lang w:val="en-US"/>
        </w:rPr>
      </w:pPr>
    </w:p>
    <w:p w:rsidR="00DA7D37" w:rsidRPr="000F0C4F" w:rsidRDefault="00630716" w:rsidP="003824AA">
      <w:pPr>
        <w:pStyle w:val="ListParagraph"/>
        <w:numPr>
          <w:ilvl w:val="0"/>
          <w:numId w:val="3"/>
        </w:numPr>
        <w:tabs>
          <w:tab w:val="clear" w:pos="1080"/>
          <w:tab w:val="num" w:pos="709"/>
        </w:tabs>
        <w:autoSpaceDE w:val="0"/>
        <w:autoSpaceDN w:val="0"/>
        <w:adjustRightInd w:val="0"/>
        <w:spacing w:after="240"/>
        <w:ind w:left="709" w:hanging="709"/>
        <w:jc w:val="both"/>
        <w:rPr>
          <w:rFonts w:cs="Arial"/>
          <w:i/>
          <w:color w:val="000000"/>
        </w:rPr>
      </w:pPr>
      <w:r w:rsidRPr="004309A2">
        <w:rPr>
          <w:rFonts w:cs="Arial"/>
          <w:szCs w:val="24"/>
          <w:lang w:val="en-US"/>
        </w:rPr>
        <w:t xml:space="preserve">Section </w:t>
      </w:r>
      <w:r w:rsidRPr="000F0C4F">
        <w:rPr>
          <w:rFonts w:cs="Arial"/>
          <w:szCs w:val="24"/>
          <w:lang w:val="en-US"/>
        </w:rPr>
        <w:t>28 of the Local government Act 2003 imposes a statutory duty on a billing or major precepting authority to monitor, during the financial year, its income and expenditure against budget calculations.</w:t>
      </w:r>
    </w:p>
    <w:p w:rsidR="00696FC4" w:rsidRDefault="00C767C6" w:rsidP="003824AA">
      <w:pPr>
        <w:ind w:firstLine="709"/>
        <w:jc w:val="both"/>
        <w:rPr>
          <w:b/>
        </w:rPr>
      </w:pPr>
      <w:r>
        <w:rPr>
          <w:b/>
        </w:rPr>
        <w:t>FINANCIAL IMPLICATIONS</w:t>
      </w:r>
    </w:p>
    <w:p w:rsidR="00696FC4" w:rsidRPr="000F0C4F" w:rsidRDefault="00696FC4" w:rsidP="003824AA">
      <w:pPr>
        <w:pStyle w:val="ListParagraph"/>
        <w:numPr>
          <w:ilvl w:val="0"/>
          <w:numId w:val="3"/>
        </w:numPr>
        <w:tabs>
          <w:tab w:val="clear" w:pos="1080"/>
          <w:tab w:val="num" w:pos="709"/>
        </w:tabs>
        <w:ind w:hanging="1080"/>
        <w:jc w:val="both"/>
        <w:rPr>
          <w:rFonts w:cs="Arial"/>
        </w:rPr>
      </w:pPr>
      <w:r w:rsidRPr="000F0C4F">
        <w:rPr>
          <w:rFonts w:cs="Arial"/>
        </w:rPr>
        <w:t>Financial matters are integral to the report.</w:t>
      </w:r>
    </w:p>
    <w:p w:rsidR="00696FC4" w:rsidRDefault="00696FC4" w:rsidP="00C767C6">
      <w:pPr>
        <w:autoSpaceDE w:val="0"/>
        <w:autoSpaceDN w:val="0"/>
        <w:adjustRightInd w:val="0"/>
        <w:jc w:val="both"/>
        <w:rPr>
          <w:rFonts w:ascii="Tahoma" w:hAnsi="Tahoma" w:cs="Tahoma"/>
          <w:color w:val="FF0000"/>
          <w:sz w:val="16"/>
          <w:szCs w:val="16"/>
        </w:rPr>
      </w:pPr>
    </w:p>
    <w:p w:rsidR="00696FC4" w:rsidRDefault="00C767C6" w:rsidP="003824AA">
      <w:pPr>
        <w:ind w:firstLine="709"/>
        <w:jc w:val="both"/>
        <w:rPr>
          <w:rFonts w:cs="Arial"/>
          <w:b/>
          <w:szCs w:val="24"/>
        </w:rPr>
      </w:pPr>
      <w:r>
        <w:rPr>
          <w:rFonts w:cs="Arial"/>
          <w:b/>
          <w:szCs w:val="24"/>
        </w:rPr>
        <w:t>PERFORMANCE</w:t>
      </w:r>
    </w:p>
    <w:p w:rsidR="00E66512" w:rsidRPr="000F0C4F" w:rsidRDefault="00696FC4" w:rsidP="003824AA">
      <w:pPr>
        <w:pStyle w:val="ListParagraph"/>
        <w:numPr>
          <w:ilvl w:val="0"/>
          <w:numId w:val="3"/>
        </w:numPr>
        <w:tabs>
          <w:tab w:val="clear" w:pos="1080"/>
          <w:tab w:val="num" w:pos="709"/>
        </w:tabs>
        <w:autoSpaceDE w:val="0"/>
        <w:autoSpaceDN w:val="0"/>
        <w:adjustRightInd w:val="0"/>
        <w:ind w:left="709" w:hanging="709"/>
        <w:jc w:val="both"/>
        <w:rPr>
          <w:rFonts w:cs="Arial"/>
          <w:szCs w:val="24"/>
          <w:lang w:val="en-US"/>
        </w:rPr>
      </w:pPr>
      <w:r w:rsidRPr="000F0C4F">
        <w:rPr>
          <w:rFonts w:cs="Arial"/>
        </w:rPr>
        <w:t xml:space="preserve">Good financial </w:t>
      </w:r>
      <w:r w:rsidR="00E66512" w:rsidRPr="000F0C4F">
        <w:rPr>
          <w:rFonts w:cs="Arial"/>
        </w:rPr>
        <w:t>monitoring</w:t>
      </w:r>
      <w:r w:rsidRPr="000F0C4F">
        <w:rPr>
          <w:rFonts w:cs="Arial"/>
        </w:rPr>
        <w:t xml:space="preserve"> is essential to </w:t>
      </w:r>
      <w:r w:rsidR="00E66512" w:rsidRPr="000F0C4F">
        <w:rPr>
          <w:rFonts w:cs="Arial"/>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maximised.</w:t>
      </w:r>
    </w:p>
    <w:p w:rsidR="00E66512" w:rsidRDefault="00E66512" w:rsidP="00C767C6">
      <w:pPr>
        <w:autoSpaceDE w:val="0"/>
        <w:autoSpaceDN w:val="0"/>
        <w:adjustRightInd w:val="0"/>
        <w:ind w:left="360"/>
        <w:jc w:val="both"/>
        <w:rPr>
          <w:rFonts w:cs="Arial"/>
          <w:szCs w:val="24"/>
          <w:lang w:val="en-US"/>
        </w:rPr>
      </w:pPr>
    </w:p>
    <w:p w:rsidR="00696FC4" w:rsidRPr="000F0C4F" w:rsidRDefault="00597F30" w:rsidP="003824AA">
      <w:pPr>
        <w:pStyle w:val="ListParagraph"/>
        <w:numPr>
          <w:ilvl w:val="0"/>
          <w:numId w:val="3"/>
        </w:numPr>
        <w:tabs>
          <w:tab w:val="clear" w:pos="1080"/>
          <w:tab w:val="num" w:pos="709"/>
        </w:tabs>
        <w:ind w:hanging="1080"/>
        <w:jc w:val="both"/>
        <w:rPr>
          <w:rFonts w:cs="Arial"/>
        </w:rPr>
      </w:pPr>
      <w:r w:rsidRPr="000F0C4F">
        <w:rPr>
          <w:rFonts w:cs="Arial"/>
        </w:rPr>
        <w:t>Financial performance is considered quarterly at Cabinet.</w:t>
      </w:r>
    </w:p>
    <w:p w:rsidR="00376E10" w:rsidRDefault="00376E10" w:rsidP="00C767C6">
      <w:pPr>
        <w:tabs>
          <w:tab w:val="left" w:pos="374"/>
        </w:tabs>
        <w:jc w:val="both"/>
        <w:rPr>
          <w:rFonts w:cs="Arial"/>
          <w:color w:val="FF0000"/>
        </w:rPr>
      </w:pPr>
    </w:p>
    <w:p w:rsidR="00696FC4" w:rsidRDefault="0049714E" w:rsidP="00C767C6">
      <w:pPr>
        <w:tabs>
          <w:tab w:val="left" w:pos="374"/>
        </w:tabs>
        <w:jc w:val="both"/>
        <w:rPr>
          <w:b/>
          <w:szCs w:val="24"/>
        </w:rPr>
      </w:pPr>
      <w:r>
        <w:rPr>
          <w:b/>
          <w:szCs w:val="24"/>
        </w:rPr>
        <w:tab/>
      </w:r>
      <w:r>
        <w:rPr>
          <w:b/>
          <w:szCs w:val="24"/>
        </w:rPr>
        <w:tab/>
      </w:r>
      <w:r w:rsidR="00696FC4" w:rsidRPr="000C2294">
        <w:rPr>
          <w:b/>
          <w:szCs w:val="24"/>
        </w:rPr>
        <w:t>R</w:t>
      </w:r>
      <w:r w:rsidR="001E591D">
        <w:rPr>
          <w:b/>
          <w:szCs w:val="24"/>
        </w:rPr>
        <w:t>ISK MANAGEMENT IMPLICATIONS</w:t>
      </w:r>
    </w:p>
    <w:p w:rsidR="00696FC4" w:rsidRDefault="00696FC4" w:rsidP="003824AA">
      <w:pPr>
        <w:pStyle w:val="ListParagraph"/>
        <w:numPr>
          <w:ilvl w:val="0"/>
          <w:numId w:val="3"/>
        </w:numPr>
        <w:tabs>
          <w:tab w:val="clear" w:pos="1080"/>
          <w:tab w:val="num" w:pos="709"/>
        </w:tabs>
        <w:ind w:left="709" w:hanging="709"/>
        <w:jc w:val="both"/>
        <w:rPr>
          <w:rFonts w:cs="Arial"/>
        </w:rPr>
      </w:pPr>
      <w:r w:rsidRPr="000F0C4F">
        <w:rPr>
          <w:rFonts w:cs="Arial"/>
        </w:rPr>
        <w:t xml:space="preserve">The risks to the council and how they are being managed are clearly set out in the report: </w:t>
      </w:r>
    </w:p>
    <w:p w:rsidR="001A7954" w:rsidRPr="000F0C4F" w:rsidRDefault="001A7954" w:rsidP="003824AA">
      <w:pPr>
        <w:pStyle w:val="ListParagraph"/>
        <w:ind w:left="1080"/>
        <w:jc w:val="both"/>
        <w:rPr>
          <w:rFonts w:cs="Arial"/>
        </w:rPr>
      </w:pPr>
    </w:p>
    <w:p w:rsidR="00696FC4" w:rsidRDefault="0049714E" w:rsidP="00592C5A">
      <w:pPr>
        <w:pStyle w:val="infotext0"/>
        <w:spacing w:before="0" w:beforeAutospacing="0" w:after="0" w:afterAutospacing="0"/>
        <w:ind w:left="567"/>
        <w:jc w:val="both"/>
        <w:rPr>
          <w:rFonts w:ascii="Arial" w:hAnsi="Arial" w:cs="Arial"/>
        </w:rPr>
      </w:pPr>
      <w:r>
        <w:rPr>
          <w:rFonts w:ascii="Arial" w:hAnsi="Arial" w:cs="Arial"/>
        </w:rPr>
        <w:t xml:space="preserve"> </w:t>
      </w:r>
      <w:r w:rsidR="00696FC4">
        <w:rPr>
          <w:rFonts w:ascii="Arial" w:hAnsi="Arial" w:cs="Arial"/>
        </w:rPr>
        <w:t>Risks included on Directorate risk registers? Yes</w:t>
      </w:r>
    </w:p>
    <w:p w:rsidR="007E619C" w:rsidRDefault="007E619C" w:rsidP="00C767C6">
      <w:pPr>
        <w:jc w:val="both"/>
        <w:rPr>
          <w:b/>
          <w:szCs w:val="24"/>
        </w:rPr>
      </w:pPr>
    </w:p>
    <w:p w:rsidR="001E591D" w:rsidRDefault="00696FC4" w:rsidP="003824AA">
      <w:pPr>
        <w:ind w:firstLine="709"/>
        <w:jc w:val="both"/>
        <w:rPr>
          <w:b/>
          <w:szCs w:val="24"/>
        </w:rPr>
      </w:pPr>
      <w:r w:rsidRPr="000C2294">
        <w:rPr>
          <w:b/>
          <w:szCs w:val="24"/>
        </w:rPr>
        <w:t>E</w:t>
      </w:r>
      <w:r w:rsidR="001E591D">
        <w:rPr>
          <w:b/>
          <w:szCs w:val="24"/>
        </w:rPr>
        <w:t>QUALITIES IMPLICATIONS</w:t>
      </w:r>
    </w:p>
    <w:p w:rsidR="00696FC4" w:rsidRPr="000F0C4F" w:rsidRDefault="00696FC4" w:rsidP="003824AA">
      <w:pPr>
        <w:pStyle w:val="ListParagraph"/>
        <w:numPr>
          <w:ilvl w:val="0"/>
          <w:numId w:val="3"/>
        </w:numPr>
        <w:tabs>
          <w:tab w:val="clear" w:pos="1080"/>
          <w:tab w:val="num" w:pos="709"/>
        </w:tabs>
        <w:ind w:hanging="1080"/>
        <w:jc w:val="both"/>
        <w:rPr>
          <w:rFonts w:cs="Arial"/>
        </w:rPr>
      </w:pPr>
      <w:r w:rsidRPr="000F0C4F">
        <w:rPr>
          <w:rFonts w:cs="Arial"/>
        </w:rPr>
        <w:t xml:space="preserve">There are no direct equalities impacts arising from the decisions within this report. </w:t>
      </w:r>
    </w:p>
    <w:p w:rsidR="00D44ECE" w:rsidRDefault="00D44ECE" w:rsidP="00C767C6">
      <w:pPr>
        <w:pStyle w:val="Style12ptJustified"/>
        <w:jc w:val="both"/>
        <w:rPr>
          <w:rFonts w:cs="Arial"/>
          <w:szCs w:val="24"/>
        </w:rPr>
      </w:pPr>
    </w:p>
    <w:p w:rsidR="00696FC4" w:rsidRPr="00D44ECE" w:rsidRDefault="00696FC4" w:rsidP="003824AA">
      <w:pPr>
        <w:pStyle w:val="Style12ptJustified"/>
        <w:ind w:firstLine="720"/>
        <w:jc w:val="both"/>
        <w:rPr>
          <w:b/>
        </w:rPr>
      </w:pPr>
      <w:r w:rsidRPr="000C2294">
        <w:rPr>
          <w:b/>
        </w:rPr>
        <w:t>C</w:t>
      </w:r>
      <w:r w:rsidR="001E591D">
        <w:rPr>
          <w:b/>
        </w:rPr>
        <w:t>ORPORATE PRIORITIES</w:t>
      </w:r>
    </w:p>
    <w:p w:rsidR="00696FC4" w:rsidRDefault="002F3901" w:rsidP="003824AA">
      <w:pPr>
        <w:ind w:firstLine="720"/>
        <w:rPr>
          <w:rFonts w:cs="Arial"/>
        </w:rPr>
      </w:pPr>
      <w:r>
        <w:rPr>
          <w:rFonts w:cs="Arial"/>
        </w:rPr>
        <w:t>The Council’s vision is:</w:t>
      </w:r>
    </w:p>
    <w:p w:rsidR="00864EF6" w:rsidRDefault="002F3901" w:rsidP="009870D0">
      <w:pPr>
        <w:rPr>
          <w:rFonts w:cs="Arial"/>
        </w:rPr>
      </w:pPr>
      <w:r>
        <w:rPr>
          <w:rFonts w:cs="Arial"/>
        </w:rPr>
        <w:tab/>
      </w:r>
    </w:p>
    <w:p w:rsidR="002F3901" w:rsidRDefault="002F3901" w:rsidP="00864EF6">
      <w:pPr>
        <w:ind w:firstLine="720"/>
        <w:rPr>
          <w:rFonts w:cs="Arial"/>
          <w:b/>
        </w:rPr>
      </w:pPr>
      <w:r>
        <w:rPr>
          <w:rFonts w:cs="Arial"/>
          <w:b/>
        </w:rPr>
        <w:t>Working Together to Make a Difference for Harrow</w:t>
      </w:r>
    </w:p>
    <w:p w:rsidR="002F3901" w:rsidRDefault="002F3901" w:rsidP="009870D0">
      <w:pPr>
        <w:rPr>
          <w:rFonts w:cs="Arial"/>
          <w:b/>
        </w:rPr>
      </w:pPr>
    </w:p>
    <w:p w:rsidR="002F3901" w:rsidRDefault="002F3901" w:rsidP="003824AA">
      <w:pPr>
        <w:ind w:firstLine="720"/>
        <w:rPr>
          <w:rFonts w:cs="Arial"/>
        </w:rPr>
      </w:pPr>
      <w:r>
        <w:rPr>
          <w:rFonts w:cs="Arial"/>
        </w:rPr>
        <w:t>The administrations priorities are:</w:t>
      </w:r>
    </w:p>
    <w:p w:rsidR="002F3901" w:rsidRDefault="002F3901" w:rsidP="009870D0">
      <w:pPr>
        <w:rPr>
          <w:rFonts w:cs="Arial"/>
        </w:rPr>
      </w:pPr>
      <w:r>
        <w:rPr>
          <w:rFonts w:cs="Arial"/>
        </w:rPr>
        <w:tab/>
        <w:t>Making a difference for the vulnerable</w:t>
      </w:r>
    </w:p>
    <w:p w:rsidR="002F3901" w:rsidRDefault="002F3901" w:rsidP="009870D0">
      <w:pPr>
        <w:rPr>
          <w:rFonts w:cs="Arial"/>
        </w:rPr>
      </w:pPr>
      <w:r>
        <w:rPr>
          <w:rFonts w:cs="Arial"/>
        </w:rPr>
        <w:tab/>
        <w:t>Making a difference for communities</w:t>
      </w:r>
    </w:p>
    <w:p w:rsidR="002F3901" w:rsidRDefault="002F3901" w:rsidP="009870D0">
      <w:pPr>
        <w:rPr>
          <w:rFonts w:cs="Arial"/>
        </w:rPr>
      </w:pPr>
      <w:r>
        <w:rPr>
          <w:rFonts w:cs="Arial"/>
        </w:rPr>
        <w:tab/>
        <w:t>Making a difference for local businesses</w:t>
      </w:r>
    </w:p>
    <w:p w:rsidR="002F3901" w:rsidRDefault="002F3901" w:rsidP="009870D0">
      <w:pPr>
        <w:rPr>
          <w:rFonts w:cs="Arial"/>
        </w:rPr>
      </w:pPr>
      <w:r>
        <w:rPr>
          <w:rFonts w:cs="Arial"/>
        </w:rPr>
        <w:tab/>
        <w:t>Making a difference for families</w:t>
      </w:r>
    </w:p>
    <w:p w:rsidR="002F3901" w:rsidRDefault="002F3901" w:rsidP="009870D0">
      <w:pPr>
        <w:rPr>
          <w:rFonts w:cs="Arial"/>
        </w:rPr>
      </w:pPr>
    </w:p>
    <w:p w:rsidR="002F3901" w:rsidRPr="00BE60A3" w:rsidRDefault="002F3901" w:rsidP="009870D0">
      <w:pPr>
        <w:rPr>
          <w:rFonts w:cs="Arial"/>
          <w:color w:val="FF0000"/>
        </w:rPr>
      </w:pPr>
      <w:r w:rsidRPr="00BE60A3">
        <w:rPr>
          <w:rFonts w:cs="Arial"/>
          <w:color w:val="FF0000"/>
        </w:rPr>
        <w:t xml:space="preserve">The robust stewardship of funds to ensure </w:t>
      </w:r>
      <w:r w:rsidR="00966A1C" w:rsidRPr="00BE60A3">
        <w:rPr>
          <w:rFonts w:cs="Arial"/>
          <w:color w:val="FF0000"/>
        </w:rPr>
        <w:t>expenditure is contained w</w:t>
      </w:r>
      <w:r w:rsidR="006434EC">
        <w:rPr>
          <w:rFonts w:cs="Arial"/>
          <w:color w:val="FF0000"/>
        </w:rPr>
        <w:t>ithin budget.</w:t>
      </w:r>
    </w:p>
    <w:p w:rsidR="00864EF6" w:rsidRDefault="00864EF6">
      <w:pPr>
        <w:rPr>
          <w:b/>
          <w:sz w:val="32"/>
          <w:szCs w:val="32"/>
        </w:rPr>
      </w:pPr>
    </w:p>
    <w:p w:rsidR="00864EF6" w:rsidRDefault="00864EF6">
      <w:pPr>
        <w:rPr>
          <w:rFonts w:ascii="Arial Black" w:hAnsi="Arial Black"/>
          <w:b/>
          <w:sz w:val="32"/>
          <w:szCs w:val="32"/>
        </w:rPr>
      </w:pPr>
    </w:p>
    <w:p w:rsidR="00864EF6" w:rsidRDefault="00864EF6">
      <w:pPr>
        <w:rPr>
          <w:rFonts w:ascii="Arial Black" w:hAnsi="Arial Black"/>
          <w:b/>
          <w:sz w:val="32"/>
          <w:szCs w:val="32"/>
        </w:rPr>
      </w:pPr>
    </w:p>
    <w:p w:rsidR="00864EF6" w:rsidRDefault="00864EF6">
      <w:pPr>
        <w:rPr>
          <w:rFonts w:ascii="Arial Black" w:hAnsi="Arial Black"/>
          <w:b/>
          <w:sz w:val="32"/>
          <w:szCs w:val="32"/>
        </w:rPr>
      </w:pPr>
    </w:p>
    <w:p w:rsidR="00864EF6" w:rsidRDefault="00864EF6">
      <w:pPr>
        <w:rPr>
          <w:rFonts w:ascii="Arial Black" w:hAnsi="Arial Black"/>
          <w:b/>
          <w:sz w:val="32"/>
          <w:szCs w:val="32"/>
        </w:rPr>
      </w:pPr>
    </w:p>
    <w:p w:rsidR="00864EF6" w:rsidRDefault="00864EF6">
      <w:pPr>
        <w:rPr>
          <w:rFonts w:ascii="Arial Black" w:hAnsi="Arial Black"/>
          <w:b/>
          <w:sz w:val="32"/>
          <w:szCs w:val="32"/>
        </w:rPr>
      </w:pPr>
    </w:p>
    <w:p w:rsidR="00696FC4" w:rsidRPr="00864EF6" w:rsidRDefault="00696FC4">
      <w:pPr>
        <w:rPr>
          <w:rFonts w:ascii="Arial Black" w:hAnsi="Arial Black"/>
          <w:b/>
          <w:sz w:val="32"/>
          <w:szCs w:val="32"/>
        </w:rPr>
      </w:pPr>
      <w:r w:rsidRPr="00864EF6">
        <w:rPr>
          <w:rFonts w:ascii="Arial Black" w:hAnsi="Arial Black"/>
          <w:b/>
          <w:sz w:val="32"/>
          <w:szCs w:val="32"/>
        </w:rPr>
        <w:lastRenderedPageBreak/>
        <w:t>Section 3 - Statutory Officer Clearance</w:t>
      </w:r>
    </w:p>
    <w:p w:rsidR="00864EF6" w:rsidRDefault="00864EF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5"/>
        <w:gridCol w:w="486"/>
        <w:gridCol w:w="262"/>
        <w:gridCol w:w="4534"/>
      </w:tblGrid>
      <w:tr w:rsidR="00696FC4">
        <w:tc>
          <w:tcPr>
            <w:tcW w:w="2320" w:type="pct"/>
            <w:tcBorders>
              <w:bottom w:val="nil"/>
              <w:right w:val="nil"/>
            </w:tcBorders>
          </w:tcPr>
          <w:p w:rsidR="00696FC4" w:rsidRDefault="00696FC4">
            <w:pPr>
              <w:pStyle w:val="Infotext"/>
            </w:pPr>
          </w:p>
        </w:tc>
        <w:tc>
          <w:tcPr>
            <w:tcW w:w="246" w:type="pct"/>
            <w:tcBorders>
              <w:left w:val="nil"/>
              <w:right w:val="nil"/>
            </w:tcBorders>
          </w:tcPr>
          <w:p w:rsidR="00696FC4" w:rsidRDefault="00696FC4">
            <w:pPr>
              <w:pStyle w:val="Infotext"/>
            </w:pPr>
          </w:p>
        </w:tc>
        <w:tc>
          <w:tcPr>
            <w:tcW w:w="133" w:type="pct"/>
            <w:tcBorders>
              <w:left w:val="nil"/>
              <w:bottom w:val="nil"/>
              <w:right w:val="nil"/>
            </w:tcBorders>
          </w:tcPr>
          <w:p w:rsidR="00696FC4" w:rsidRDefault="00696FC4">
            <w:pPr>
              <w:pStyle w:val="Infotext"/>
            </w:pPr>
          </w:p>
        </w:tc>
        <w:tc>
          <w:tcPr>
            <w:tcW w:w="2300" w:type="pct"/>
            <w:tcBorders>
              <w:left w:val="nil"/>
              <w:bottom w:val="nil"/>
            </w:tcBorders>
          </w:tcPr>
          <w:p w:rsidR="00696FC4" w:rsidRDefault="00696FC4">
            <w:pPr>
              <w:pStyle w:val="Infotext"/>
            </w:pPr>
          </w:p>
        </w:tc>
      </w:tr>
      <w:tr w:rsidR="00B40C72">
        <w:tc>
          <w:tcPr>
            <w:tcW w:w="2320" w:type="pct"/>
            <w:tcBorders>
              <w:top w:val="nil"/>
              <w:bottom w:val="nil"/>
            </w:tcBorders>
          </w:tcPr>
          <w:p w:rsidR="00B40C72" w:rsidRDefault="00B40C72">
            <w:pPr>
              <w:pStyle w:val="Infotext"/>
              <w:rPr>
                <w:sz w:val="24"/>
                <w:szCs w:val="24"/>
              </w:rPr>
            </w:pPr>
            <w:r>
              <w:rPr>
                <w:sz w:val="24"/>
                <w:szCs w:val="24"/>
              </w:rPr>
              <w:t xml:space="preserve">Name:  </w:t>
            </w:r>
            <w:r w:rsidR="003D76D5">
              <w:rPr>
                <w:sz w:val="24"/>
                <w:szCs w:val="24"/>
              </w:rPr>
              <w:t>Dawn Calvert</w:t>
            </w:r>
          </w:p>
        </w:tc>
        <w:tc>
          <w:tcPr>
            <w:tcW w:w="246" w:type="pct"/>
            <w:tcBorders>
              <w:bottom w:val="single" w:sz="4" w:space="0" w:color="auto"/>
            </w:tcBorders>
          </w:tcPr>
          <w:p w:rsidR="00B40C72" w:rsidRDefault="00504A66" w:rsidP="00A34D6D">
            <w:pPr>
              <w:pStyle w:val="Infotext"/>
              <w:jc w:val="center"/>
            </w:pPr>
            <w:r>
              <w:t>x</w:t>
            </w:r>
          </w:p>
        </w:tc>
        <w:tc>
          <w:tcPr>
            <w:tcW w:w="133" w:type="pct"/>
            <w:tcBorders>
              <w:top w:val="nil"/>
              <w:bottom w:val="nil"/>
              <w:right w:val="nil"/>
            </w:tcBorders>
          </w:tcPr>
          <w:p w:rsidR="00B40C72" w:rsidRDefault="00B40C72">
            <w:pPr>
              <w:pStyle w:val="Infotext"/>
            </w:pPr>
          </w:p>
        </w:tc>
        <w:tc>
          <w:tcPr>
            <w:tcW w:w="2300" w:type="pct"/>
            <w:tcBorders>
              <w:top w:val="nil"/>
              <w:left w:val="nil"/>
              <w:bottom w:val="nil"/>
            </w:tcBorders>
          </w:tcPr>
          <w:p w:rsidR="00B40C72" w:rsidRDefault="00E32E24">
            <w:pPr>
              <w:pStyle w:val="Infotext"/>
              <w:rPr>
                <w:sz w:val="24"/>
                <w:szCs w:val="24"/>
              </w:rPr>
            </w:pPr>
            <w:r>
              <w:rPr>
                <w:sz w:val="24"/>
                <w:szCs w:val="24"/>
              </w:rPr>
              <w:t>Director of Finance</w:t>
            </w:r>
          </w:p>
        </w:tc>
      </w:tr>
      <w:tr w:rsidR="00696FC4">
        <w:tc>
          <w:tcPr>
            <w:tcW w:w="2320" w:type="pct"/>
            <w:tcBorders>
              <w:top w:val="nil"/>
              <w:right w:val="nil"/>
            </w:tcBorders>
          </w:tcPr>
          <w:p w:rsidR="00696FC4" w:rsidRDefault="00696FC4">
            <w:pPr>
              <w:pStyle w:val="Infotext"/>
              <w:rPr>
                <w:sz w:val="24"/>
                <w:szCs w:val="24"/>
              </w:rPr>
            </w:pPr>
            <w:r>
              <w:rPr>
                <w:sz w:val="24"/>
                <w:szCs w:val="24"/>
              </w:rPr>
              <w:t xml:space="preserve"> </w:t>
            </w:r>
          </w:p>
          <w:p w:rsidR="00696FC4" w:rsidRDefault="00696FC4" w:rsidP="00864EF6">
            <w:pPr>
              <w:pStyle w:val="Infotext"/>
              <w:rPr>
                <w:sz w:val="24"/>
                <w:szCs w:val="24"/>
              </w:rPr>
            </w:pPr>
            <w:r>
              <w:rPr>
                <w:sz w:val="24"/>
                <w:szCs w:val="24"/>
              </w:rPr>
              <w:t xml:space="preserve">Date:   </w:t>
            </w:r>
            <w:r w:rsidR="00504A66">
              <w:rPr>
                <w:sz w:val="24"/>
                <w:szCs w:val="24"/>
              </w:rPr>
              <w:t>6 June 2016</w:t>
            </w:r>
          </w:p>
        </w:tc>
        <w:tc>
          <w:tcPr>
            <w:tcW w:w="246" w:type="pct"/>
            <w:tcBorders>
              <w:left w:val="nil"/>
              <w:bottom w:val="single" w:sz="4" w:space="0" w:color="auto"/>
              <w:right w:val="nil"/>
            </w:tcBorders>
          </w:tcPr>
          <w:p w:rsidR="00696FC4" w:rsidRDefault="00696FC4">
            <w:pPr>
              <w:pStyle w:val="Infotext"/>
            </w:pPr>
          </w:p>
        </w:tc>
        <w:tc>
          <w:tcPr>
            <w:tcW w:w="133" w:type="pct"/>
            <w:tcBorders>
              <w:top w:val="nil"/>
              <w:left w:val="nil"/>
              <w:right w:val="nil"/>
            </w:tcBorders>
          </w:tcPr>
          <w:p w:rsidR="00696FC4" w:rsidRDefault="00696FC4">
            <w:pPr>
              <w:pStyle w:val="Infotext"/>
            </w:pPr>
          </w:p>
        </w:tc>
        <w:tc>
          <w:tcPr>
            <w:tcW w:w="2300" w:type="pct"/>
            <w:tcBorders>
              <w:top w:val="nil"/>
              <w:left w:val="nil"/>
            </w:tcBorders>
          </w:tcPr>
          <w:p w:rsidR="00696FC4" w:rsidRDefault="00696FC4">
            <w:pPr>
              <w:pStyle w:val="Infotext"/>
              <w:rPr>
                <w:sz w:val="24"/>
                <w:szCs w:val="24"/>
              </w:rPr>
            </w:pPr>
          </w:p>
        </w:tc>
      </w:tr>
      <w:tr w:rsidR="00696FC4">
        <w:tc>
          <w:tcPr>
            <w:tcW w:w="2320" w:type="pct"/>
            <w:tcBorders>
              <w:bottom w:val="nil"/>
              <w:right w:val="nil"/>
            </w:tcBorders>
          </w:tcPr>
          <w:p w:rsidR="00696FC4" w:rsidRDefault="00696FC4">
            <w:pPr>
              <w:pStyle w:val="Infotext"/>
              <w:rPr>
                <w:sz w:val="24"/>
                <w:szCs w:val="24"/>
              </w:rPr>
            </w:pPr>
          </w:p>
        </w:tc>
        <w:tc>
          <w:tcPr>
            <w:tcW w:w="246" w:type="pct"/>
            <w:tcBorders>
              <w:left w:val="nil"/>
              <w:right w:val="nil"/>
            </w:tcBorders>
          </w:tcPr>
          <w:p w:rsidR="00696FC4" w:rsidRDefault="00696FC4">
            <w:pPr>
              <w:pStyle w:val="Infotext"/>
            </w:pPr>
          </w:p>
        </w:tc>
        <w:tc>
          <w:tcPr>
            <w:tcW w:w="133" w:type="pct"/>
            <w:tcBorders>
              <w:left w:val="nil"/>
              <w:bottom w:val="nil"/>
              <w:right w:val="nil"/>
            </w:tcBorders>
          </w:tcPr>
          <w:p w:rsidR="00696FC4" w:rsidRDefault="00696FC4">
            <w:pPr>
              <w:pStyle w:val="Infotext"/>
            </w:pPr>
          </w:p>
        </w:tc>
        <w:tc>
          <w:tcPr>
            <w:tcW w:w="2300" w:type="pct"/>
            <w:tcBorders>
              <w:left w:val="nil"/>
              <w:bottom w:val="nil"/>
            </w:tcBorders>
          </w:tcPr>
          <w:p w:rsidR="00696FC4" w:rsidRDefault="00696FC4">
            <w:pPr>
              <w:pStyle w:val="Infotext"/>
              <w:rPr>
                <w:sz w:val="24"/>
                <w:szCs w:val="24"/>
              </w:rPr>
            </w:pPr>
            <w:r>
              <w:rPr>
                <w:sz w:val="24"/>
                <w:szCs w:val="24"/>
              </w:rPr>
              <w:t>on behalf of the</w:t>
            </w:r>
          </w:p>
        </w:tc>
      </w:tr>
      <w:tr w:rsidR="00696FC4">
        <w:tc>
          <w:tcPr>
            <w:tcW w:w="2320" w:type="pct"/>
            <w:tcBorders>
              <w:top w:val="nil"/>
              <w:bottom w:val="nil"/>
            </w:tcBorders>
          </w:tcPr>
          <w:p w:rsidR="00696FC4" w:rsidRDefault="00696FC4">
            <w:pPr>
              <w:pStyle w:val="Infotext"/>
              <w:rPr>
                <w:sz w:val="24"/>
                <w:szCs w:val="24"/>
              </w:rPr>
            </w:pPr>
            <w:r>
              <w:rPr>
                <w:sz w:val="24"/>
                <w:szCs w:val="24"/>
              </w:rPr>
              <w:t xml:space="preserve">Name:  </w:t>
            </w:r>
            <w:r w:rsidR="0049714E">
              <w:rPr>
                <w:sz w:val="24"/>
                <w:szCs w:val="24"/>
              </w:rPr>
              <w:t>Jessica Farmer</w:t>
            </w:r>
          </w:p>
        </w:tc>
        <w:tc>
          <w:tcPr>
            <w:tcW w:w="246" w:type="pct"/>
            <w:tcBorders>
              <w:bottom w:val="single" w:sz="4" w:space="0" w:color="auto"/>
            </w:tcBorders>
          </w:tcPr>
          <w:p w:rsidR="00696FC4" w:rsidRDefault="00504A66">
            <w:pPr>
              <w:pStyle w:val="Infotext"/>
            </w:pPr>
            <w:r>
              <w:t>x</w:t>
            </w:r>
          </w:p>
        </w:tc>
        <w:tc>
          <w:tcPr>
            <w:tcW w:w="133" w:type="pct"/>
            <w:tcBorders>
              <w:top w:val="nil"/>
              <w:bottom w:val="nil"/>
              <w:right w:val="nil"/>
            </w:tcBorders>
          </w:tcPr>
          <w:p w:rsidR="00696FC4" w:rsidRDefault="00696FC4">
            <w:pPr>
              <w:pStyle w:val="Infotext"/>
            </w:pPr>
          </w:p>
        </w:tc>
        <w:tc>
          <w:tcPr>
            <w:tcW w:w="2300" w:type="pct"/>
            <w:tcBorders>
              <w:top w:val="nil"/>
              <w:left w:val="nil"/>
              <w:bottom w:val="nil"/>
            </w:tcBorders>
          </w:tcPr>
          <w:p w:rsidR="00696FC4" w:rsidRDefault="00696FC4">
            <w:pPr>
              <w:pStyle w:val="Infotext"/>
              <w:rPr>
                <w:sz w:val="24"/>
                <w:szCs w:val="24"/>
              </w:rPr>
            </w:pPr>
            <w:r>
              <w:rPr>
                <w:sz w:val="24"/>
                <w:szCs w:val="24"/>
              </w:rPr>
              <w:t>Monitoring Officer</w:t>
            </w:r>
          </w:p>
        </w:tc>
      </w:tr>
      <w:tr w:rsidR="00696FC4">
        <w:tc>
          <w:tcPr>
            <w:tcW w:w="2320" w:type="pct"/>
            <w:tcBorders>
              <w:top w:val="nil"/>
              <w:right w:val="nil"/>
            </w:tcBorders>
          </w:tcPr>
          <w:p w:rsidR="00696FC4" w:rsidRDefault="00696FC4">
            <w:pPr>
              <w:pStyle w:val="Infotext"/>
              <w:rPr>
                <w:sz w:val="24"/>
                <w:szCs w:val="24"/>
              </w:rPr>
            </w:pPr>
          </w:p>
          <w:p w:rsidR="00696FC4" w:rsidRDefault="00696FC4">
            <w:pPr>
              <w:pStyle w:val="Infotext"/>
              <w:rPr>
                <w:sz w:val="24"/>
                <w:szCs w:val="24"/>
              </w:rPr>
            </w:pPr>
            <w:r>
              <w:rPr>
                <w:sz w:val="24"/>
                <w:szCs w:val="24"/>
              </w:rPr>
              <w:t xml:space="preserve">Date:  </w:t>
            </w:r>
            <w:r w:rsidR="00504A66">
              <w:rPr>
                <w:sz w:val="24"/>
                <w:szCs w:val="24"/>
              </w:rPr>
              <w:t>6 June 2016</w:t>
            </w:r>
          </w:p>
          <w:p w:rsidR="00696FC4" w:rsidRDefault="00696FC4">
            <w:pPr>
              <w:pStyle w:val="Infotext"/>
              <w:rPr>
                <w:sz w:val="24"/>
                <w:szCs w:val="24"/>
              </w:rPr>
            </w:pPr>
          </w:p>
        </w:tc>
        <w:tc>
          <w:tcPr>
            <w:tcW w:w="246" w:type="pct"/>
            <w:tcBorders>
              <w:left w:val="nil"/>
              <w:right w:val="nil"/>
            </w:tcBorders>
          </w:tcPr>
          <w:p w:rsidR="00696FC4" w:rsidRDefault="00696FC4">
            <w:pPr>
              <w:pStyle w:val="Infotext"/>
            </w:pPr>
          </w:p>
        </w:tc>
        <w:tc>
          <w:tcPr>
            <w:tcW w:w="133" w:type="pct"/>
            <w:tcBorders>
              <w:top w:val="nil"/>
              <w:left w:val="nil"/>
              <w:right w:val="nil"/>
            </w:tcBorders>
          </w:tcPr>
          <w:p w:rsidR="00696FC4" w:rsidRDefault="00696FC4">
            <w:pPr>
              <w:pStyle w:val="Infotext"/>
            </w:pPr>
          </w:p>
        </w:tc>
        <w:tc>
          <w:tcPr>
            <w:tcW w:w="2300" w:type="pct"/>
            <w:tcBorders>
              <w:top w:val="nil"/>
              <w:left w:val="nil"/>
            </w:tcBorders>
          </w:tcPr>
          <w:p w:rsidR="00696FC4" w:rsidRDefault="00696FC4">
            <w:pPr>
              <w:pStyle w:val="Infotext"/>
            </w:pPr>
          </w:p>
          <w:p w:rsidR="00696FC4" w:rsidRDefault="00696FC4">
            <w:pPr>
              <w:pStyle w:val="Infotext"/>
            </w:pPr>
          </w:p>
        </w:tc>
      </w:tr>
    </w:tbl>
    <w:p w:rsidR="00696FC4" w:rsidRDefault="00696FC4"/>
    <w:p w:rsidR="000A55D4" w:rsidRDefault="000A55D4" w:rsidP="00B40C72">
      <w:pPr>
        <w:pStyle w:val="Heading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3"/>
        <w:gridCol w:w="3894"/>
      </w:tblGrid>
      <w:tr w:rsidR="000A55D4">
        <w:trPr>
          <w:trHeight w:val="965"/>
        </w:trPr>
        <w:tc>
          <w:tcPr>
            <w:tcW w:w="3025" w:type="pct"/>
            <w:tcBorders>
              <w:right w:val="nil"/>
            </w:tcBorders>
          </w:tcPr>
          <w:p w:rsidR="000A55D4" w:rsidRDefault="000A55D4" w:rsidP="0048119F">
            <w:pPr>
              <w:pStyle w:val="Infotext"/>
              <w:rPr>
                <w:rFonts w:ascii="Arial Black" w:hAnsi="Arial Black"/>
              </w:rPr>
            </w:pPr>
          </w:p>
          <w:p w:rsidR="000A55D4" w:rsidRDefault="000A55D4" w:rsidP="0048119F">
            <w:pPr>
              <w:pStyle w:val="Infotext"/>
              <w:rPr>
                <w:rFonts w:ascii="Arial Black" w:hAnsi="Arial Black"/>
              </w:rPr>
            </w:pPr>
            <w:r>
              <w:rPr>
                <w:rFonts w:ascii="Arial Black" w:hAnsi="Arial Black"/>
              </w:rPr>
              <w:t>Ward Councillors notified:</w:t>
            </w:r>
          </w:p>
          <w:p w:rsidR="000A55D4" w:rsidRDefault="000A55D4" w:rsidP="0048119F">
            <w:pPr>
              <w:pStyle w:val="Infotext"/>
            </w:pPr>
          </w:p>
        </w:tc>
        <w:tc>
          <w:tcPr>
            <w:tcW w:w="1975" w:type="pct"/>
            <w:tcBorders>
              <w:left w:val="nil"/>
            </w:tcBorders>
          </w:tcPr>
          <w:p w:rsidR="000A55D4" w:rsidRDefault="000A55D4" w:rsidP="0048119F">
            <w:pPr>
              <w:pStyle w:val="Infotext"/>
            </w:pPr>
          </w:p>
          <w:p w:rsidR="000A55D4" w:rsidRPr="00EF3D60" w:rsidRDefault="000A55D4" w:rsidP="0048119F">
            <w:pPr>
              <w:pStyle w:val="Infotext"/>
              <w:spacing w:before="120"/>
              <w:rPr>
                <w:sz w:val="24"/>
                <w:szCs w:val="24"/>
              </w:rPr>
            </w:pPr>
            <w:r w:rsidRPr="00EF3D60">
              <w:rPr>
                <w:sz w:val="24"/>
                <w:szCs w:val="24"/>
              </w:rPr>
              <w:t xml:space="preserve">NO </w:t>
            </w:r>
          </w:p>
          <w:p w:rsidR="000A55D4" w:rsidRDefault="000A55D4" w:rsidP="0048119F">
            <w:pPr>
              <w:pStyle w:val="Infotext"/>
              <w:rPr>
                <w:i/>
                <w:sz w:val="24"/>
                <w:szCs w:val="24"/>
              </w:rPr>
            </w:pPr>
            <w:r>
              <w:rPr>
                <w:i/>
                <w:sz w:val="24"/>
                <w:szCs w:val="24"/>
              </w:rPr>
              <w:t xml:space="preserve"> </w:t>
            </w:r>
          </w:p>
          <w:p w:rsidR="000A55D4" w:rsidRPr="003D78F6" w:rsidRDefault="000A55D4" w:rsidP="0048119F">
            <w:pPr>
              <w:pStyle w:val="Infotext"/>
              <w:ind w:left="173"/>
              <w:rPr>
                <w:i/>
                <w:sz w:val="24"/>
                <w:szCs w:val="24"/>
              </w:rPr>
            </w:pPr>
          </w:p>
        </w:tc>
      </w:tr>
      <w:tr w:rsidR="00AC7BFC" w:rsidRPr="00303FD6" w:rsidTr="00AC7BFC">
        <w:trPr>
          <w:trHeight w:val="965"/>
        </w:trPr>
        <w:tc>
          <w:tcPr>
            <w:tcW w:w="3025" w:type="pct"/>
            <w:tcBorders>
              <w:top w:val="single" w:sz="4" w:space="0" w:color="auto"/>
              <w:left w:val="single" w:sz="4" w:space="0" w:color="auto"/>
              <w:bottom w:val="single" w:sz="4" w:space="0" w:color="auto"/>
              <w:right w:val="nil"/>
            </w:tcBorders>
          </w:tcPr>
          <w:p w:rsidR="00AC7BFC" w:rsidRPr="00AC7BFC" w:rsidRDefault="00AC7BFC" w:rsidP="00AC7BFC">
            <w:pPr>
              <w:pStyle w:val="Infotext"/>
              <w:rPr>
                <w:rFonts w:ascii="Arial Black" w:hAnsi="Arial Black"/>
              </w:rPr>
            </w:pPr>
          </w:p>
          <w:p w:rsidR="00AC7BFC" w:rsidRPr="00202D79" w:rsidRDefault="00AC7BFC" w:rsidP="00AC7BFC">
            <w:pPr>
              <w:pStyle w:val="Infotext"/>
              <w:rPr>
                <w:rFonts w:ascii="Arial Black" w:hAnsi="Arial Black"/>
              </w:rPr>
            </w:pPr>
            <w:r w:rsidRPr="00202D79">
              <w:rPr>
                <w:rFonts w:ascii="Arial Black" w:hAnsi="Arial Black"/>
              </w:rPr>
              <w:t>EqIA carried out:</w:t>
            </w:r>
          </w:p>
          <w:p w:rsidR="00AC7BFC" w:rsidRPr="00202D79" w:rsidRDefault="00AC7BFC" w:rsidP="00AC7BFC">
            <w:pPr>
              <w:pStyle w:val="Infotext"/>
              <w:rPr>
                <w:rFonts w:ascii="Arial Black" w:hAnsi="Arial Black"/>
              </w:rPr>
            </w:pPr>
          </w:p>
          <w:p w:rsidR="00AC7BFC" w:rsidRPr="00AC7BFC" w:rsidRDefault="00AC7BFC" w:rsidP="00AC7BFC">
            <w:pPr>
              <w:pStyle w:val="Infotext"/>
              <w:rPr>
                <w:rFonts w:ascii="Arial Black" w:hAnsi="Arial Black"/>
              </w:rPr>
            </w:pPr>
            <w:r w:rsidRPr="00202D79">
              <w:rPr>
                <w:rFonts w:ascii="Arial Black" w:hAnsi="Arial Black"/>
              </w:rPr>
              <w:t>EqIA cleared by:</w:t>
            </w:r>
          </w:p>
        </w:tc>
        <w:tc>
          <w:tcPr>
            <w:tcW w:w="1975" w:type="pct"/>
            <w:tcBorders>
              <w:top w:val="single" w:sz="4" w:space="0" w:color="auto"/>
              <w:left w:val="nil"/>
              <w:bottom w:val="single" w:sz="4" w:space="0" w:color="auto"/>
              <w:right w:val="single" w:sz="4" w:space="0" w:color="auto"/>
            </w:tcBorders>
          </w:tcPr>
          <w:p w:rsidR="00AC7BFC" w:rsidRPr="00AC7BFC" w:rsidRDefault="00AC7BFC" w:rsidP="00AC7BFC">
            <w:pPr>
              <w:pStyle w:val="Infotext"/>
            </w:pPr>
          </w:p>
          <w:p w:rsidR="00AC7BFC" w:rsidRPr="00EF3D60" w:rsidRDefault="00AC7BFC" w:rsidP="00AC7BFC">
            <w:pPr>
              <w:pStyle w:val="Infotext"/>
              <w:rPr>
                <w:sz w:val="24"/>
                <w:szCs w:val="24"/>
              </w:rPr>
            </w:pPr>
            <w:r w:rsidRPr="00EF3D60">
              <w:rPr>
                <w:sz w:val="24"/>
                <w:szCs w:val="24"/>
              </w:rPr>
              <w:t>NO</w:t>
            </w:r>
          </w:p>
          <w:p w:rsidR="00AC7BFC" w:rsidRPr="00AC7BFC" w:rsidRDefault="00AC7BFC" w:rsidP="00AC7BFC">
            <w:pPr>
              <w:pStyle w:val="Infotext"/>
            </w:pPr>
          </w:p>
          <w:p w:rsidR="00AC7BFC" w:rsidRPr="00AC7BFC" w:rsidRDefault="00AC7BFC" w:rsidP="00AC7BFC">
            <w:pPr>
              <w:pStyle w:val="Infotext"/>
            </w:pPr>
          </w:p>
          <w:p w:rsidR="00AC7BFC" w:rsidRPr="00EF3D60" w:rsidRDefault="00AC7BFC" w:rsidP="00AC7BFC">
            <w:pPr>
              <w:pStyle w:val="Infotext"/>
              <w:rPr>
                <w:sz w:val="24"/>
                <w:szCs w:val="24"/>
              </w:rPr>
            </w:pPr>
            <w:r w:rsidRPr="00EF3D60">
              <w:rPr>
                <w:sz w:val="24"/>
                <w:szCs w:val="24"/>
              </w:rPr>
              <w:t>N/A</w:t>
            </w:r>
          </w:p>
        </w:tc>
      </w:tr>
    </w:tbl>
    <w:p w:rsidR="000A55D4" w:rsidRPr="000A55D4" w:rsidRDefault="000A55D4" w:rsidP="000A55D4">
      <w:pPr>
        <w:rPr>
          <w:rFonts w:cs="Arial"/>
        </w:rPr>
      </w:pPr>
    </w:p>
    <w:p w:rsidR="00696FC4" w:rsidRDefault="00696FC4" w:rsidP="00B40C72">
      <w:pPr>
        <w:pStyle w:val="Heading1"/>
      </w:pPr>
      <w:r>
        <w:t xml:space="preserve">Section </w:t>
      </w:r>
      <w:r w:rsidR="00457774">
        <w:t>4</w:t>
      </w:r>
      <w:r>
        <w:t xml:space="preserve"> - Contact Details and Background Papers</w:t>
      </w:r>
    </w:p>
    <w:p w:rsidR="00696FC4" w:rsidRDefault="00696FC4"/>
    <w:p w:rsidR="00696FC4" w:rsidRDefault="00696FC4">
      <w:pPr>
        <w:pStyle w:val="Infotext"/>
        <w:tabs>
          <w:tab w:val="left" w:pos="1309"/>
          <w:tab w:val="left" w:pos="7106"/>
          <w:tab w:val="left" w:pos="8976"/>
        </w:tabs>
        <w:ind w:left="1309" w:right="257" w:hanging="1309"/>
        <w:rPr>
          <w:b/>
          <w:szCs w:val="28"/>
        </w:rPr>
      </w:pPr>
      <w:r>
        <w:rPr>
          <w:b/>
        </w:rPr>
        <w:t xml:space="preserve">Contact:  </w:t>
      </w:r>
      <w:r w:rsidR="00CB266A">
        <w:rPr>
          <w:sz w:val="24"/>
          <w:szCs w:val="24"/>
        </w:rPr>
        <w:t>S</w:t>
      </w:r>
      <w:r w:rsidR="00E32E24">
        <w:rPr>
          <w:sz w:val="24"/>
          <w:szCs w:val="24"/>
        </w:rPr>
        <w:t>haron Daniels</w:t>
      </w:r>
      <w:r w:rsidR="00EC6642">
        <w:rPr>
          <w:sz w:val="24"/>
          <w:szCs w:val="24"/>
        </w:rPr>
        <w:t xml:space="preserve"> (</w:t>
      </w:r>
      <w:r w:rsidR="00E32E24">
        <w:rPr>
          <w:sz w:val="24"/>
          <w:szCs w:val="24"/>
        </w:rPr>
        <w:t>Sharon.daniels</w:t>
      </w:r>
      <w:r w:rsidR="00EC6642">
        <w:rPr>
          <w:sz w:val="24"/>
          <w:szCs w:val="24"/>
        </w:rPr>
        <w:t>@harrow.gov.uk)</w:t>
      </w:r>
    </w:p>
    <w:p w:rsidR="00864EF6" w:rsidRDefault="00864EF6">
      <w:pPr>
        <w:pStyle w:val="Infotext"/>
        <w:rPr>
          <w:b/>
        </w:rPr>
      </w:pPr>
    </w:p>
    <w:p w:rsidR="006434EC" w:rsidRDefault="006434EC">
      <w:pPr>
        <w:pStyle w:val="Infotext"/>
        <w:rPr>
          <w:b/>
          <w:color w:val="FF0000"/>
        </w:rPr>
      </w:pPr>
      <w:r>
        <w:rPr>
          <w:b/>
          <w:color w:val="FF0000"/>
        </w:rPr>
        <w:t>Back ground Papers:</w:t>
      </w:r>
    </w:p>
    <w:p w:rsidR="006434EC" w:rsidRDefault="006434EC">
      <w:pPr>
        <w:pStyle w:val="Infotext"/>
        <w:rPr>
          <w:b/>
          <w:color w:val="FF0000"/>
        </w:rPr>
      </w:pPr>
      <w:hyperlink r:id="rId13" w:history="1">
        <w:r>
          <w:rPr>
            <w:rStyle w:val="Hyperlink"/>
            <w:rFonts w:cs="Times New Roman"/>
            <w:b/>
            <w:sz w:val="28"/>
          </w:rPr>
          <w:t>Capital Programme 2016/17 to 2019/20</w:t>
        </w:r>
      </w:hyperlink>
    </w:p>
    <w:p w:rsidR="00696FC4" w:rsidRPr="00BE60A3" w:rsidRDefault="006434EC">
      <w:pPr>
        <w:pStyle w:val="Infotext"/>
        <w:rPr>
          <w:b/>
          <w:color w:val="FF0000"/>
        </w:rPr>
      </w:pPr>
      <w:hyperlink r:id="rId14" w:history="1">
        <w:r w:rsidRPr="006434EC">
          <w:rPr>
            <w:rStyle w:val="Hyperlink"/>
            <w:rFonts w:cs="Times New Roman"/>
            <w:b/>
            <w:sz w:val="28"/>
          </w:rPr>
          <w:t>Revenue and Capital Monitoring for Quarter 3 as at 31 December 2015</w:t>
        </w:r>
      </w:hyperlink>
      <w:r w:rsidR="00696FC4" w:rsidRPr="00BE60A3">
        <w:rPr>
          <w:b/>
          <w:color w:val="FF0000"/>
        </w:rPr>
        <w:t xml:space="preserve"> </w:t>
      </w:r>
    </w:p>
    <w:p w:rsidR="00C508E3" w:rsidRDefault="00C508E3" w:rsidP="003D76D5">
      <w:pPr>
        <w:pStyle w:val="Infotext"/>
        <w:rPr>
          <w:sz w:val="24"/>
          <w:szCs w:val="24"/>
        </w:rPr>
      </w:pPr>
    </w:p>
    <w:p w:rsidR="00696FC4" w:rsidRDefault="00696FC4">
      <w:pPr>
        <w:pStyle w:val="Infotext"/>
        <w:tabs>
          <w:tab w:val="left" w:pos="8976"/>
        </w:tabs>
        <w:ind w:right="257"/>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633"/>
        <w:gridCol w:w="4867"/>
      </w:tblGrid>
      <w:tr w:rsidR="00696FC4">
        <w:trPr>
          <w:trHeight w:val="965"/>
        </w:trPr>
        <w:tc>
          <w:tcPr>
            <w:tcW w:w="2210" w:type="pct"/>
            <w:tcBorders>
              <w:right w:val="nil"/>
            </w:tcBorders>
          </w:tcPr>
          <w:p w:rsidR="00864EF6" w:rsidRDefault="00864EF6">
            <w:pPr>
              <w:pStyle w:val="Infotext"/>
              <w:rPr>
                <w:rFonts w:ascii="Arial Black" w:hAnsi="Arial Black"/>
              </w:rPr>
            </w:pPr>
          </w:p>
          <w:p w:rsidR="00696FC4" w:rsidRDefault="00696FC4">
            <w:pPr>
              <w:pStyle w:val="Infotext"/>
              <w:rPr>
                <w:rFonts w:ascii="Arial Black" w:hAnsi="Arial Black"/>
              </w:rPr>
            </w:pPr>
            <w:r>
              <w:rPr>
                <w:rFonts w:ascii="Arial Black" w:hAnsi="Arial Black"/>
              </w:rPr>
              <w:t>Call-In Waived by the Chairman of Overview and Scrutiny Committee</w:t>
            </w:r>
          </w:p>
          <w:p w:rsidR="00696FC4" w:rsidRDefault="00696FC4">
            <w:pPr>
              <w:pStyle w:val="Infotext"/>
            </w:pPr>
          </w:p>
          <w:p w:rsidR="00864EF6" w:rsidRDefault="00864EF6">
            <w:pPr>
              <w:pStyle w:val="Infotext"/>
            </w:pPr>
          </w:p>
          <w:p w:rsidR="00864EF6" w:rsidRDefault="00864EF6">
            <w:pPr>
              <w:pStyle w:val="Infotext"/>
            </w:pPr>
          </w:p>
        </w:tc>
        <w:tc>
          <w:tcPr>
            <w:tcW w:w="321" w:type="pct"/>
            <w:tcBorders>
              <w:left w:val="nil"/>
              <w:right w:val="nil"/>
            </w:tcBorders>
          </w:tcPr>
          <w:p w:rsidR="00696FC4" w:rsidRDefault="00696FC4">
            <w:pPr>
              <w:pStyle w:val="Infotext"/>
            </w:pPr>
          </w:p>
        </w:tc>
        <w:tc>
          <w:tcPr>
            <w:tcW w:w="2469" w:type="pct"/>
            <w:tcBorders>
              <w:left w:val="nil"/>
            </w:tcBorders>
          </w:tcPr>
          <w:p w:rsidR="00864EF6" w:rsidRDefault="00864EF6">
            <w:pPr>
              <w:pStyle w:val="Infotext"/>
              <w:rPr>
                <w:b/>
              </w:rPr>
            </w:pPr>
          </w:p>
          <w:p w:rsidR="00696FC4" w:rsidRDefault="00696FC4">
            <w:pPr>
              <w:pStyle w:val="Infotext"/>
            </w:pPr>
            <w:r>
              <w:rPr>
                <w:b/>
              </w:rPr>
              <w:t>NOT APPLICABLE</w:t>
            </w:r>
          </w:p>
          <w:p w:rsidR="00696FC4" w:rsidRDefault="00696FC4">
            <w:pPr>
              <w:pStyle w:val="Infotext"/>
            </w:pPr>
          </w:p>
          <w:p w:rsidR="00696FC4" w:rsidRDefault="00696FC4">
            <w:pPr>
              <w:pStyle w:val="Infotext"/>
              <w:rPr>
                <w:i/>
              </w:rPr>
            </w:pPr>
            <w:r>
              <w:rPr>
                <w:i/>
              </w:rPr>
              <w:t>[Call –in applies]</w:t>
            </w:r>
          </w:p>
          <w:p w:rsidR="00696FC4" w:rsidRDefault="00696FC4">
            <w:pPr>
              <w:pStyle w:val="Infotext"/>
              <w:rPr>
                <w:i/>
              </w:rPr>
            </w:pPr>
          </w:p>
          <w:p w:rsidR="00D44ECE" w:rsidRDefault="00D44ECE">
            <w:pPr>
              <w:pStyle w:val="Infotext"/>
              <w:rPr>
                <w:i/>
              </w:rPr>
            </w:pPr>
          </w:p>
          <w:p w:rsidR="00696FC4" w:rsidRDefault="00696FC4">
            <w:pPr>
              <w:pStyle w:val="Infotext"/>
              <w:rPr>
                <w:i/>
                <w:sz w:val="24"/>
                <w:szCs w:val="24"/>
              </w:rPr>
            </w:pPr>
          </w:p>
        </w:tc>
      </w:tr>
    </w:tbl>
    <w:p w:rsidR="002A0969" w:rsidRDefault="002A0969">
      <w:pPr>
        <w:rPr>
          <w:color w:val="FF0000"/>
        </w:rPr>
      </w:pPr>
    </w:p>
    <w:p w:rsidR="00D97AF1" w:rsidRDefault="00D97AF1">
      <w:pPr>
        <w:pStyle w:val="bullet4"/>
        <w:numPr>
          <w:ilvl w:val="0"/>
          <w:numId w:val="0"/>
        </w:numPr>
        <w:rPr>
          <w:color w:val="FF0000"/>
        </w:rPr>
      </w:pPr>
    </w:p>
    <w:sectPr w:rsidR="00D97AF1" w:rsidSect="007E619C">
      <w:headerReference w:type="first" r:id="rId15"/>
      <w:pgSz w:w="11909" w:h="16834" w:code="9"/>
      <w:pgMar w:top="1134" w:right="1134" w:bottom="760" w:left="1134" w:header="72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D2" w:rsidRDefault="001E06D2">
      <w:r>
        <w:separator/>
      </w:r>
    </w:p>
  </w:endnote>
  <w:endnote w:type="continuationSeparator" w:id="0">
    <w:p w:rsidR="001E06D2" w:rsidRDefault="001E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D2" w:rsidRDefault="001E06D2">
      <w:r>
        <w:separator/>
      </w:r>
    </w:p>
  </w:footnote>
  <w:footnote w:type="continuationSeparator" w:id="0">
    <w:p w:rsidR="001E06D2" w:rsidRDefault="001E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B0" w:rsidRDefault="004E62B0" w:rsidP="002A0969">
    <w:pPr>
      <w:pStyle w:val="Header"/>
      <w:jc w:val="right"/>
      <w:rPr>
        <w:b/>
      </w:rPr>
    </w:pPr>
  </w:p>
  <w:p w:rsidR="004E62B0" w:rsidRPr="002A0969" w:rsidRDefault="004E62B0" w:rsidP="002A0969">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40" w:hanging="34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b w:val="0"/>
      </w:rPr>
    </w:lvl>
  </w:abstractNum>
  <w:abstractNum w:abstractNumId="4">
    <w:nsid w:val="01D44480"/>
    <w:multiLevelType w:val="hybridMultilevel"/>
    <w:tmpl w:val="28B63586"/>
    <w:lvl w:ilvl="0" w:tplc="D37E33E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27B67C1"/>
    <w:multiLevelType w:val="hybridMultilevel"/>
    <w:tmpl w:val="36D03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6872A75"/>
    <w:multiLevelType w:val="hybridMultilevel"/>
    <w:tmpl w:val="29BA4FC6"/>
    <w:lvl w:ilvl="0" w:tplc="35C2D996">
      <w:start w:val="4"/>
      <w:numFmt w:val="decimal"/>
      <w:lvlText w:val="%1."/>
      <w:lvlJc w:val="left"/>
      <w:pPr>
        <w:tabs>
          <w:tab w:val="num" w:pos="388"/>
        </w:tabs>
        <w:ind w:left="388" w:hanging="360"/>
      </w:pPr>
      <w:rPr>
        <w:rFonts w:hint="default"/>
        <w:b w:val="0"/>
        <w:i w:val="0"/>
        <w14:shadow w14:blurRad="50800" w14:dist="50800" w14:dir="5400000" w14:sx="0" w14:sy="0" w14:kx="0" w14:ky="0" w14:algn="ctr">
          <w14:schemeClr w14:val="bg1">
            <w14:lumMod w14:val="95000"/>
          </w14:schemeClr>
        </w14:shadow>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7">
    <w:nsid w:val="0B95757F"/>
    <w:multiLevelType w:val="hybridMultilevel"/>
    <w:tmpl w:val="EE2E1CD8"/>
    <w:lvl w:ilvl="0" w:tplc="ECC25B30">
      <w:start w:val="4"/>
      <w:numFmt w:val="decimal"/>
      <w:lvlText w:val="%1."/>
      <w:lvlJc w:val="left"/>
      <w:pPr>
        <w:tabs>
          <w:tab w:val="num" w:pos="502"/>
        </w:tabs>
        <w:ind w:left="502" w:hanging="360"/>
      </w:pPr>
      <w:rPr>
        <w:rFonts w:hint="default"/>
        <w:b w:val="0"/>
        <w:i w:val="0"/>
        <w:color w:val="auto"/>
        <w14:shadow w14:blurRad="50800" w14:dist="50800" w14:dir="5400000" w14:sx="0" w14:sy="0" w14:kx="0" w14:ky="0" w14:algn="ctr">
          <w14:schemeClr w14:val="bg1">
            <w14:lumMod w14:val="95000"/>
          </w14:schemeClr>
        </w14:shadow>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8">
    <w:nsid w:val="0E212B0C"/>
    <w:multiLevelType w:val="hybridMultilevel"/>
    <w:tmpl w:val="56A6AD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0FE904F2"/>
    <w:multiLevelType w:val="hybridMultilevel"/>
    <w:tmpl w:val="AA142B02"/>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93521B"/>
    <w:multiLevelType w:val="hybridMultilevel"/>
    <w:tmpl w:val="23608AD0"/>
    <w:lvl w:ilvl="0" w:tplc="918AD572">
      <w:start w:val="1"/>
      <w:numFmt w:val="bullet"/>
      <w:lvlText w:val=""/>
      <w:lvlJc w:val="left"/>
      <w:pPr>
        <w:tabs>
          <w:tab w:val="num" w:pos="1094"/>
        </w:tabs>
        <w:ind w:left="1094" w:hanging="360"/>
      </w:pPr>
      <w:rPr>
        <w:rFonts w:ascii="Symbol" w:hAnsi="Symbol" w:hint="default"/>
        <w:i w:val="0"/>
      </w:rPr>
    </w:lvl>
    <w:lvl w:ilvl="1" w:tplc="F2962836">
      <w:start w:val="1"/>
      <w:numFmt w:val="lowerLetter"/>
      <w:lvlText w:val="%2."/>
      <w:lvlJc w:val="left"/>
      <w:pPr>
        <w:tabs>
          <w:tab w:val="num" w:pos="1814"/>
        </w:tabs>
        <w:ind w:left="1814" w:hanging="360"/>
      </w:pPr>
      <w:rPr>
        <w:rFonts w:hint="default"/>
      </w:rPr>
    </w:lvl>
    <w:lvl w:ilvl="2" w:tplc="0409001B">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1">
    <w:nsid w:val="1339237E"/>
    <w:multiLevelType w:val="hybridMultilevel"/>
    <w:tmpl w:val="852A17E0"/>
    <w:lvl w:ilvl="0" w:tplc="35C2D996">
      <w:start w:val="4"/>
      <w:numFmt w:val="decimal"/>
      <w:lvlText w:val="%1."/>
      <w:lvlJc w:val="left"/>
      <w:pPr>
        <w:tabs>
          <w:tab w:val="num" w:pos="374"/>
        </w:tabs>
        <w:ind w:left="374" w:hanging="360"/>
      </w:pPr>
      <w:rPr>
        <w:rFonts w:hint="default"/>
        <w:b w:val="0"/>
        <w:i w:val="0"/>
        <w14:shadow w14:blurRad="50800" w14:dist="50800" w14:dir="5400000" w14:sx="0" w14:sy="0" w14:kx="0" w14:ky="0" w14:algn="ctr">
          <w14:schemeClr w14:val="bg1">
            <w14:lumMod w14:val="95000"/>
          </w14:schemeClr>
        </w14:shado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F34F24"/>
    <w:multiLevelType w:val="hybridMultilevel"/>
    <w:tmpl w:val="A0100330"/>
    <w:lvl w:ilvl="0" w:tplc="C79637CA">
      <w:start w:val="12"/>
      <w:numFmt w:val="decimal"/>
      <w:lvlText w:val="%1."/>
      <w:lvlJc w:val="left"/>
      <w:pPr>
        <w:ind w:left="644" w:hanging="360"/>
      </w:pPr>
      <w:rPr>
        <w:rFonts w:hint="default"/>
        <w:b w:val="0"/>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18FD4D30"/>
    <w:multiLevelType w:val="hybridMultilevel"/>
    <w:tmpl w:val="B0706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9DD6ED1"/>
    <w:multiLevelType w:val="hybridMultilevel"/>
    <w:tmpl w:val="06FC71A8"/>
    <w:lvl w:ilvl="0" w:tplc="50E4D1A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5E3390"/>
    <w:multiLevelType w:val="hybridMultilevel"/>
    <w:tmpl w:val="9DB6D34A"/>
    <w:lvl w:ilvl="0" w:tplc="47308874">
      <w:start w:val="1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215912ED"/>
    <w:multiLevelType w:val="hybridMultilevel"/>
    <w:tmpl w:val="8BCE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E70F11"/>
    <w:multiLevelType w:val="hybridMultilevel"/>
    <w:tmpl w:val="868661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27EA00F3"/>
    <w:multiLevelType w:val="hybridMultilevel"/>
    <w:tmpl w:val="904A14C8"/>
    <w:lvl w:ilvl="0" w:tplc="1DB4EF3A">
      <w:start w:val="4"/>
      <w:numFmt w:val="decimal"/>
      <w:lvlText w:val="%1."/>
      <w:lvlJc w:val="left"/>
      <w:pPr>
        <w:tabs>
          <w:tab w:val="num" w:pos="502"/>
        </w:tabs>
        <w:ind w:left="502" w:hanging="360"/>
      </w:pPr>
      <w:rPr>
        <w:rFonts w:hint="default"/>
        <w:b w:val="0"/>
        <w:i w:val="0"/>
        <w:color w:val="auto"/>
        <w14:shadow w14:blurRad="50800" w14:dist="50800" w14:dir="5400000" w14:sx="0" w14:sy="0" w14:kx="0" w14:ky="0" w14:algn="ctr">
          <w14:schemeClr w14:val="bg1">
            <w14:lumMod w14:val="95000"/>
          </w14:schemeClr>
        </w14:shadow>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9">
    <w:nsid w:val="28BB4DDE"/>
    <w:multiLevelType w:val="hybridMultilevel"/>
    <w:tmpl w:val="0BAC471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0">
    <w:nsid w:val="298A3D90"/>
    <w:multiLevelType w:val="hybridMultilevel"/>
    <w:tmpl w:val="E9201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2B656A8D"/>
    <w:multiLevelType w:val="hybridMultilevel"/>
    <w:tmpl w:val="CE0A12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2BE4738E"/>
    <w:multiLevelType w:val="hybridMultilevel"/>
    <w:tmpl w:val="DEC0E7B8"/>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3119E1"/>
    <w:multiLevelType w:val="hybridMultilevel"/>
    <w:tmpl w:val="68BC4A0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4">
    <w:nsid w:val="2CC943DE"/>
    <w:multiLevelType w:val="hybridMultilevel"/>
    <w:tmpl w:val="95EE368A"/>
    <w:lvl w:ilvl="0" w:tplc="024C8B12">
      <w:start w:val="2"/>
      <w:numFmt w:val="decimal"/>
      <w:lvlText w:val="%1."/>
      <w:lvlJc w:val="left"/>
      <w:pPr>
        <w:tabs>
          <w:tab w:val="num" w:pos="374"/>
        </w:tabs>
        <w:ind w:left="374" w:hanging="360"/>
      </w:pPr>
      <w:rPr>
        <w:rFonts w:hint="default"/>
      </w:rPr>
    </w:lvl>
    <w:lvl w:ilvl="1" w:tplc="6218A310">
      <w:start w:val="13"/>
      <w:numFmt w:val="decimal"/>
      <w:lvlText w:val="%2"/>
      <w:lvlJc w:val="left"/>
      <w:pPr>
        <w:tabs>
          <w:tab w:val="num" w:pos="1094"/>
        </w:tabs>
        <w:ind w:left="1094" w:hanging="360"/>
      </w:pPr>
      <w:rPr>
        <w:rFonts w:hint="default"/>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5">
    <w:nsid w:val="30CF2BF8"/>
    <w:multiLevelType w:val="hybridMultilevel"/>
    <w:tmpl w:val="15221574"/>
    <w:lvl w:ilvl="0" w:tplc="5762DC42">
      <w:start w:val="1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32035AA1"/>
    <w:multiLevelType w:val="hybridMultilevel"/>
    <w:tmpl w:val="15221574"/>
    <w:lvl w:ilvl="0" w:tplc="5762DC42">
      <w:start w:val="1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33D82630"/>
    <w:multiLevelType w:val="hybridMultilevel"/>
    <w:tmpl w:val="4EC8E5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nsid w:val="37266F7D"/>
    <w:multiLevelType w:val="hybridMultilevel"/>
    <w:tmpl w:val="98127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8556009"/>
    <w:multiLevelType w:val="hybridMultilevel"/>
    <w:tmpl w:val="180E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C6611C"/>
    <w:multiLevelType w:val="hybridMultilevel"/>
    <w:tmpl w:val="6EA2A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3CD201FB"/>
    <w:multiLevelType w:val="hybridMultilevel"/>
    <w:tmpl w:val="69F8A666"/>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D5700F5"/>
    <w:multiLevelType w:val="hybridMultilevel"/>
    <w:tmpl w:val="536849F6"/>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3">
    <w:nsid w:val="4259134D"/>
    <w:multiLevelType w:val="hybridMultilevel"/>
    <w:tmpl w:val="36F0EF7A"/>
    <w:lvl w:ilvl="0" w:tplc="918AD572">
      <w:start w:val="1"/>
      <w:numFmt w:val="bullet"/>
      <w:lvlText w:val=""/>
      <w:lvlJc w:val="left"/>
      <w:pPr>
        <w:tabs>
          <w:tab w:val="num" w:pos="1440"/>
        </w:tabs>
        <w:ind w:left="1440" w:hanging="360"/>
      </w:pPr>
      <w:rPr>
        <w:rFonts w:ascii="Symbol" w:hAnsi="Symbol" w:hint="default"/>
        <w:b w:val="0"/>
        <w:i w:val="0"/>
      </w:rPr>
    </w:lvl>
    <w:lvl w:ilvl="1" w:tplc="F2962836">
      <w:start w:val="1"/>
      <w:numFmt w:val="lowerLetter"/>
      <w:lvlText w:val="%2."/>
      <w:lvlJc w:val="left"/>
      <w:pPr>
        <w:tabs>
          <w:tab w:val="num" w:pos="2146"/>
        </w:tabs>
        <w:ind w:left="2146" w:hanging="360"/>
      </w:pPr>
      <w:rPr>
        <w:rFonts w:hint="default"/>
      </w:rPr>
    </w:lvl>
    <w:lvl w:ilvl="2" w:tplc="0409001B">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4">
    <w:nsid w:val="4F0E16BD"/>
    <w:multiLevelType w:val="hybridMultilevel"/>
    <w:tmpl w:val="234C717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nsid w:val="513E7DD3"/>
    <w:multiLevelType w:val="singleLevel"/>
    <w:tmpl w:val="46D6CBD2"/>
    <w:lvl w:ilvl="0">
      <w:start w:val="1"/>
      <w:numFmt w:val="bullet"/>
      <w:pStyle w:val="bullet4"/>
      <w:lvlText w:val=""/>
      <w:lvlJc w:val="left"/>
      <w:pPr>
        <w:tabs>
          <w:tab w:val="num" w:pos="360"/>
        </w:tabs>
        <w:ind w:left="340" w:hanging="340"/>
      </w:pPr>
      <w:rPr>
        <w:rFonts w:ascii="Wingdings" w:hAnsi="Wingdings" w:hint="default"/>
      </w:rPr>
    </w:lvl>
  </w:abstractNum>
  <w:abstractNum w:abstractNumId="36">
    <w:nsid w:val="529B3C00"/>
    <w:multiLevelType w:val="hybridMultilevel"/>
    <w:tmpl w:val="0552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29E35D1"/>
    <w:multiLevelType w:val="hybridMultilevel"/>
    <w:tmpl w:val="910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5AD1129"/>
    <w:multiLevelType w:val="hybridMultilevel"/>
    <w:tmpl w:val="45288C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71A4A30"/>
    <w:multiLevelType w:val="hybridMultilevel"/>
    <w:tmpl w:val="93161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574C5856"/>
    <w:multiLevelType w:val="hybridMultilevel"/>
    <w:tmpl w:val="4DC6F696"/>
    <w:lvl w:ilvl="0" w:tplc="C8C854AE">
      <w:start w:val="1"/>
      <w:numFmt w:val="decimal"/>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41">
    <w:nsid w:val="5C7531E8"/>
    <w:multiLevelType w:val="hybridMultilevel"/>
    <w:tmpl w:val="157C8F16"/>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2">
    <w:nsid w:val="5D490F7E"/>
    <w:multiLevelType w:val="hybridMultilevel"/>
    <w:tmpl w:val="E3586AE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16F1889"/>
    <w:multiLevelType w:val="hybridMultilevel"/>
    <w:tmpl w:val="F9061700"/>
    <w:lvl w:ilvl="0" w:tplc="BBC4C8C0">
      <w:start w:val="1"/>
      <w:numFmt w:val="decimal"/>
      <w:lvlText w:val="%1."/>
      <w:lvlJc w:val="left"/>
      <w:pPr>
        <w:tabs>
          <w:tab w:val="num" w:pos="1080"/>
        </w:tabs>
        <w:ind w:left="1080" w:hanging="360"/>
      </w:pPr>
      <w:rPr>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69E7696"/>
    <w:multiLevelType w:val="hybridMultilevel"/>
    <w:tmpl w:val="9DB6D34A"/>
    <w:lvl w:ilvl="0" w:tplc="47308874">
      <w:start w:val="1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nsid w:val="6DBD30F9"/>
    <w:multiLevelType w:val="hybridMultilevel"/>
    <w:tmpl w:val="E050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DD252A9"/>
    <w:multiLevelType w:val="hybridMultilevel"/>
    <w:tmpl w:val="C6FC5D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6ED82D35"/>
    <w:multiLevelType w:val="hybridMultilevel"/>
    <w:tmpl w:val="16FCFF7E"/>
    <w:lvl w:ilvl="0" w:tplc="918AD572">
      <w:start w:val="1"/>
      <w:numFmt w:val="bullet"/>
      <w:lvlText w:val=""/>
      <w:lvlJc w:val="left"/>
      <w:pPr>
        <w:tabs>
          <w:tab w:val="num" w:pos="734"/>
        </w:tabs>
        <w:ind w:left="734" w:hanging="360"/>
      </w:pPr>
      <w:rPr>
        <w:rFonts w:ascii="Symbol" w:hAnsi="Symbol" w:hint="default"/>
        <w:b w:val="0"/>
        <w:i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2574E2D"/>
    <w:multiLevelType w:val="hybridMultilevel"/>
    <w:tmpl w:val="20FEFDA0"/>
    <w:lvl w:ilvl="0" w:tplc="FFFFFFFF">
      <w:start w:val="1"/>
      <w:numFmt w:val="decimal"/>
      <w:pStyle w:val="Style1"/>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9">
    <w:nsid w:val="793662A1"/>
    <w:multiLevelType w:val="hybridMultilevel"/>
    <w:tmpl w:val="D0F24C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nsid w:val="7B1473B0"/>
    <w:multiLevelType w:val="hybridMultilevel"/>
    <w:tmpl w:val="95264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B757DD4"/>
    <w:multiLevelType w:val="hybridMultilevel"/>
    <w:tmpl w:val="E8C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134343"/>
    <w:multiLevelType w:val="hybridMultilevel"/>
    <w:tmpl w:val="6A9C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7F5032"/>
    <w:multiLevelType w:val="hybridMultilevel"/>
    <w:tmpl w:val="206891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num w:numId="1">
    <w:abstractNumId w:val="35"/>
  </w:num>
  <w:num w:numId="2">
    <w:abstractNumId w:val="48"/>
  </w:num>
  <w:num w:numId="3">
    <w:abstractNumId w:val="43"/>
  </w:num>
  <w:num w:numId="4">
    <w:abstractNumId w:val="10"/>
  </w:num>
  <w:num w:numId="5">
    <w:abstractNumId w:val="47"/>
  </w:num>
  <w:num w:numId="6">
    <w:abstractNumId w:val="33"/>
  </w:num>
  <w:num w:numId="7">
    <w:abstractNumId w:val="46"/>
  </w:num>
  <w:num w:numId="8">
    <w:abstractNumId w:val="24"/>
  </w:num>
  <w:num w:numId="9">
    <w:abstractNumId w:val="18"/>
  </w:num>
  <w:num w:numId="10">
    <w:abstractNumId w:val="16"/>
  </w:num>
  <w:num w:numId="11">
    <w:abstractNumId w:val="13"/>
  </w:num>
  <w:num w:numId="12">
    <w:abstractNumId w:val="36"/>
  </w:num>
  <w:num w:numId="13">
    <w:abstractNumId w:val="40"/>
  </w:num>
  <w:num w:numId="14">
    <w:abstractNumId w:val="28"/>
  </w:num>
  <w:num w:numId="15">
    <w:abstractNumId w:val="11"/>
  </w:num>
  <w:num w:numId="16">
    <w:abstractNumId w:val="6"/>
  </w:num>
  <w:num w:numId="17">
    <w:abstractNumId w:val="32"/>
  </w:num>
  <w:num w:numId="18">
    <w:abstractNumId w:val="14"/>
  </w:num>
  <w:num w:numId="19">
    <w:abstractNumId w:val="38"/>
  </w:num>
  <w:num w:numId="20">
    <w:abstractNumId w:val="50"/>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37"/>
  </w:num>
  <w:num w:numId="24">
    <w:abstractNumId w:val="34"/>
  </w:num>
  <w:num w:numId="25">
    <w:abstractNumId w:val="21"/>
  </w:num>
  <w:num w:numId="26">
    <w:abstractNumId w:val="22"/>
  </w:num>
  <w:num w:numId="27">
    <w:abstractNumId w:val="9"/>
  </w:num>
  <w:num w:numId="28">
    <w:abstractNumId w:val="31"/>
  </w:num>
  <w:num w:numId="29">
    <w:abstractNumId w:val="7"/>
  </w:num>
  <w:num w:numId="30">
    <w:abstractNumId w:val="19"/>
  </w:num>
  <w:num w:numId="31">
    <w:abstractNumId w:val="45"/>
  </w:num>
  <w:num w:numId="32">
    <w:abstractNumId w:val="15"/>
  </w:num>
  <w:num w:numId="33">
    <w:abstractNumId w:val="44"/>
  </w:num>
  <w:num w:numId="34">
    <w:abstractNumId w:val="12"/>
  </w:num>
  <w:num w:numId="35">
    <w:abstractNumId w:val="20"/>
  </w:num>
  <w:num w:numId="36">
    <w:abstractNumId w:val="41"/>
  </w:num>
  <w:num w:numId="37">
    <w:abstractNumId w:val="41"/>
  </w:num>
  <w:num w:numId="38">
    <w:abstractNumId w:val="29"/>
  </w:num>
  <w:num w:numId="39">
    <w:abstractNumId w:val="25"/>
  </w:num>
  <w:num w:numId="40">
    <w:abstractNumId w:val="26"/>
  </w:num>
  <w:num w:numId="41">
    <w:abstractNumId w:val="5"/>
  </w:num>
  <w:num w:numId="42">
    <w:abstractNumId w:val="4"/>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53"/>
  </w:num>
  <w:num w:numId="47">
    <w:abstractNumId w:val="52"/>
  </w:num>
  <w:num w:numId="48">
    <w:abstractNumId w:val="27"/>
  </w:num>
  <w:num w:numId="49">
    <w:abstractNumId w:val="42"/>
  </w:num>
  <w:num w:numId="50">
    <w:abstractNumId w:val="23"/>
  </w:num>
  <w:num w:numId="51">
    <w:abstractNumId w:val="17"/>
  </w:num>
  <w:num w:numId="52">
    <w:abstractNumId w:val="8"/>
  </w:num>
  <w:num w:numId="53">
    <w:abstractNumId w:val="30"/>
  </w:num>
  <w:num w:numId="54">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E2"/>
    <w:rsid w:val="000008F4"/>
    <w:rsid w:val="00000FF6"/>
    <w:rsid w:val="000010B5"/>
    <w:rsid w:val="00013073"/>
    <w:rsid w:val="000153C8"/>
    <w:rsid w:val="00017A92"/>
    <w:rsid w:val="00020F92"/>
    <w:rsid w:val="000237FC"/>
    <w:rsid w:val="000248BA"/>
    <w:rsid w:val="00026D3E"/>
    <w:rsid w:val="000307A3"/>
    <w:rsid w:val="00033CFC"/>
    <w:rsid w:val="00036A13"/>
    <w:rsid w:val="000445C5"/>
    <w:rsid w:val="00047583"/>
    <w:rsid w:val="00057C6B"/>
    <w:rsid w:val="0006114A"/>
    <w:rsid w:val="000648BE"/>
    <w:rsid w:val="00066138"/>
    <w:rsid w:val="00071D0A"/>
    <w:rsid w:val="000741D7"/>
    <w:rsid w:val="00074EF4"/>
    <w:rsid w:val="000760C3"/>
    <w:rsid w:val="00077DD9"/>
    <w:rsid w:val="00081074"/>
    <w:rsid w:val="0008561D"/>
    <w:rsid w:val="0009279F"/>
    <w:rsid w:val="00095151"/>
    <w:rsid w:val="000A0EEB"/>
    <w:rsid w:val="000A3323"/>
    <w:rsid w:val="000A3C7F"/>
    <w:rsid w:val="000A55D4"/>
    <w:rsid w:val="000A65B6"/>
    <w:rsid w:val="000A75D7"/>
    <w:rsid w:val="000A7AB7"/>
    <w:rsid w:val="000B3A3B"/>
    <w:rsid w:val="000B55EA"/>
    <w:rsid w:val="000C2294"/>
    <w:rsid w:val="000C38F2"/>
    <w:rsid w:val="000C4436"/>
    <w:rsid w:val="000D1AA2"/>
    <w:rsid w:val="000D5EBC"/>
    <w:rsid w:val="000D7D4F"/>
    <w:rsid w:val="000E3A65"/>
    <w:rsid w:val="000E3C24"/>
    <w:rsid w:val="000E7769"/>
    <w:rsid w:val="000E78B9"/>
    <w:rsid w:val="000F0C4F"/>
    <w:rsid w:val="000F1237"/>
    <w:rsid w:val="00101476"/>
    <w:rsid w:val="001053F7"/>
    <w:rsid w:val="00105E91"/>
    <w:rsid w:val="00106A79"/>
    <w:rsid w:val="00111319"/>
    <w:rsid w:val="001128C9"/>
    <w:rsid w:val="00112F21"/>
    <w:rsid w:val="001208AC"/>
    <w:rsid w:val="00120AB1"/>
    <w:rsid w:val="0012323C"/>
    <w:rsid w:val="001324E8"/>
    <w:rsid w:val="00132996"/>
    <w:rsid w:val="00133859"/>
    <w:rsid w:val="001340CC"/>
    <w:rsid w:val="00142267"/>
    <w:rsid w:val="0014345B"/>
    <w:rsid w:val="00145C62"/>
    <w:rsid w:val="001544A7"/>
    <w:rsid w:val="00157D29"/>
    <w:rsid w:val="0016437B"/>
    <w:rsid w:val="0016633C"/>
    <w:rsid w:val="0017012B"/>
    <w:rsid w:val="00173E03"/>
    <w:rsid w:val="00183637"/>
    <w:rsid w:val="00190254"/>
    <w:rsid w:val="00190271"/>
    <w:rsid w:val="00194B89"/>
    <w:rsid w:val="001964C4"/>
    <w:rsid w:val="001A4A5E"/>
    <w:rsid w:val="001A5077"/>
    <w:rsid w:val="001A5BE9"/>
    <w:rsid w:val="001A6C9E"/>
    <w:rsid w:val="001A7954"/>
    <w:rsid w:val="001B36FA"/>
    <w:rsid w:val="001B5A84"/>
    <w:rsid w:val="001C0F13"/>
    <w:rsid w:val="001C6370"/>
    <w:rsid w:val="001C7923"/>
    <w:rsid w:val="001D2058"/>
    <w:rsid w:val="001D316B"/>
    <w:rsid w:val="001D5FA0"/>
    <w:rsid w:val="001E06D2"/>
    <w:rsid w:val="001E591D"/>
    <w:rsid w:val="001E679E"/>
    <w:rsid w:val="001E7ED9"/>
    <w:rsid w:val="001F140A"/>
    <w:rsid w:val="001F5AA2"/>
    <w:rsid w:val="00201204"/>
    <w:rsid w:val="0020529D"/>
    <w:rsid w:val="002057F8"/>
    <w:rsid w:val="0020633A"/>
    <w:rsid w:val="00210C83"/>
    <w:rsid w:val="00213C8B"/>
    <w:rsid w:val="00222B56"/>
    <w:rsid w:val="00223EBF"/>
    <w:rsid w:val="00224420"/>
    <w:rsid w:val="00227BB2"/>
    <w:rsid w:val="00231797"/>
    <w:rsid w:val="002318E3"/>
    <w:rsid w:val="0024655E"/>
    <w:rsid w:val="002502CA"/>
    <w:rsid w:val="00250D22"/>
    <w:rsid w:val="0025407C"/>
    <w:rsid w:val="002637EC"/>
    <w:rsid w:val="002639B2"/>
    <w:rsid w:val="00263E3B"/>
    <w:rsid w:val="0026578D"/>
    <w:rsid w:val="00265F34"/>
    <w:rsid w:val="00271FF4"/>
    <w:rsid w:val="00272B3E"/>
    <w:rsid w:val="00276194"/>
    <w:rsid w:val="00281BE6"/>
    <w:rsid w:val="00282F92"/>
    <w:rsid w:val="00286BB6"/>
    <w:rsid w:val="002879B1"/>
    <w:rsid w:val="00290514"/>
    <w:rsid w:val="00293285"/>
    <w:rsid w:val="00294252"/>
    <w:rsid w:val="0029460D"/>
    <w:rsid w:val="002A0969"/>
    <w:rsid w:val="002A4136"/>
    <w:rsid w:val="002A42A3"/>
    <w:rsid w:val="002A478D"/>
    <w:rsid w:val="002A7C8C"/>
    <w:rsid w:val="002B6778"/>
    <w:rsid w:val="002B6E9E"/>
    <w:rsid w:val="002B7804"/>
    <w:rsid w:val="002C1506"/>
    <w:rsid w:val="002C3341"/>
    <w:rsid w:val="002D0F71"/>
    <w:rsid w:val="002D1742"/>
    <w:rsid w:val="002D1EE4"/>
    <w:rsid w:val="002D48CE"/>
    <w:rsid w:val="002D5E06"/>
    <w:rsid w:val="002E06B3"/>
    <w:rsid w:val="002E0C00"/>
    <w:rsid w:val="002E306F"/>
    <w:rsid w:val="002E3530"/>
    <w:rsid w:val="002E5342"/>
    <w:rsid w:val="002E5F2B"/>
    <w:rsid w:val="002E6EBA"/>
    <w:rsid w:val="002F0563"/>
    <w:rsid w:val="002F1506"/>
    <w:rsid w:val="002F1743"/>
    <w:rsid w:val="002F1E24"/>
    <w:rsid w:val="002F3901"/>
    <w:rsid w:val="002F4567"/>
    <w:rsid w:val="002F651B"/>
    <w:rsid w:val="002F66C1"/>
    <w:rsid w:val="002F6C60"/>
    <w:rsid w:val="002F6F78"/>
    <w:rsid w:val="003035AC"/>
    <w:rsid w:val="00305A04"/>
    <w:rsid w:val="003109B9"/>
    <w:rsid w:val="00313428"/>
    <w:rsid w:val="00313471"/>
    <w:rsid w:val="003144B6"/>
    <w:rsid w:val="00314665"/>
    <w:rsid w:val="003247CA"/>
    <w:rsid w:val="00326E02"/>
    <w:rsid w:val="003278D3"/>
    <w:rsid w:val="00330A34"/>
    <w:rsid w:val="00331DF1"/>
    <w:rsid w:val="003351A5"/>
    <w:rsid w:val="00340C65"/>
    <w:rsid w:val="0034104A"/>
    <w:rsid w:val="00342FA2"/>
    <w:rsid w:val="00344347"/>
    <w:rsid w:val="00345BE4"/>
    <w:rsid w:val="00346902"/>
    <w:rsid w:val="00350856"/>
    <w:rsid w:val="00351768"/>
    <w:rsid w:val="00352E36"/>
    <w:rsid w:val="003536EC"/>
    <w:rsid w:val="00355109"/>
    <w:rsid w:val="003616A2"/>
    <w:rsid w:val="00363012"/>
    <w:rsid w:val="00363F33"/>
    <w:rsid w:val="003642AC"/>
    <w:rsid w:val="00364CF9"/>
    <w:rsid w:val="003718A4"/>
    <w:rsid w:val="0037294A"/>
    <w:rsid w:val="00372DE6"/>
    <w:rsid w:val="00374186"/>
    <w:rsid w:val="00374CD9"/>
    <w:rsid w:val="003752D4"/>
    <w:rsid w:val="00376E10"/>
    <w:rsid w:val="003824AA"/>
    <w:rsid w:val="00382E00"/>
    <w:rsid w:val="00383AF0"/>
    <w:rsid w:val="00384216"/>
    <w:rsid w:val="00384B2E"/>
    <w:rsid w:val="003851F6"/>
    <w:rsid w:val="003906AD"/>
    <w:rsid w:val="003912E0"/>
    <w:rsid w:val="00392365"/>
    <w:rsid w:val="00395298"/>
    <w:rsid w:val="00395409"/>
    <w:rsid w:val="00397DA9"/>
    <w:rsid w:val="003A178A"/>
    <w:rsid w:val="003A1B77"/>
    <w:rsid w:val="003A4BD3"/>
    <w:rsid w:val="003A4D3C"/>
    <w:rsid w:val="003A64B1"/>
    <w:rsid w:val="003B0A3C"/>
    <w:rsid w:val="003B1AE4"/>
    <w:rsid w:val="003B3607"/>
    <w:rsid w:val="003B4BF1"/>
    <w:rsid w:val="003B6CBF"/>
    <w:rsid w:val="003C421C"/>
    <w:rsid w:val="003C6D61"/>
    <w:rsid w:val="003D21A4"/>
    <w:rsid w:val="003D2D7F"/>
    <w:rsid w:val="003D307F"/>
    <w:rsid w:val="003D3EEF"/>
    <w:rsid w:val="003D5FFB"/>
    <w:rsid w:val="003D76D5"/>
    <w:rsid w:val="003E2F59"/>
    <w:rsid w:val="003E3685"/>
    <w:rsid w:val="003E505F"/>
    <w:rsid w:val="003E52F0"/>
    <w:rsid w:val="003F0534"/>
    <w:rsid w:val="003F30EF"/>
    <w:rsid w:val="003F329A"/>
    <w:rsid w:val="003F5C5C"/>
    <w:rsid w:val="003F7DBD"/>
    <w:rsid w:val="003F7E58"/>
    <w:rsid w:val="00401629"/>
    <w:rsid w:val="004016BD"/>
    <w:rsid w:val="00405842"/>
    <w:rsid w:val="0040645D"/>
    <w:rsid w:val="00406AC9"/>
    <w:rsid w:val="00410CB1"/>
    <w:rsid w:val="00411DA0"/>
    <w:rsid w:val="00413A62"/>
    <w:rsid w:val="00415BBF"/>
    <w:rsid w:val="00420B0E"/>
    <w:rsid w:val="00422244"/>
    <w:rsid w:val="00424B37"/>
    <w:rsid w:val="00424D93"/>
    <w:rsid w:val="004309A2"/>
    <w:rsid w:val="00433311"/>
    <w:rsid w:val="00434DC7"/>
    <w:rsid w:val="00436EBA"/>
    <w:rsid w:val="00441C37"/>
    <w:rsid w:val="00442794"/>
    <w:rsid w:val="00445A62"/>
    <w:rsid w:val="00445AED"/>
    <w:rsid w:val="004526B1"/>
    <w:rsid w:val="00457774"/>
    <w:rsid w:val="00461B55"/>
    <w:rsid w:val="00463EA0"/>
    <w:rsid w:val="00464EC7"/>
    <w:rsid w:val="004672DD"/>
    <w:rsid w:val="0046757C"/>
    <w:rsid w:val="0047536D"/>
    <w:rsid w:val="0048119F"/>
    <w:rsid w:val="00483233"/>
    <w:rsid w:val="0048324A"/>
    <w:rsid w:val="00484862"/>
    <w:rsid w:val="004867E1"/>
    <w:rsid w:val="0049382D"/>
    <w:rsid w:val="00495CEF"/>
    <w:rsid w:val="0049714E"/>
    <w:rsid w:val="0049773A"/>
    <w:rsid w:val="004979DE"/>
    <w:rsid w:val="004A3883"/>
    <w:rsid w:val="004A5CB0"/>
    <w:rsid w:val="004A6C1F"/>
    <w:rsid w:val="004B0EB2"/>
    <w:rsid w:val="004B20FD"/>
    <w:rsid w:val="004B2497"/>
    <w:rsid w:val="004B38FC"/>
    <w:rsid w:val="004B5C5B"/>
    <w:rsid w:val="004B5E4F"/>
    <w:rsid w:val="004B7D8A"/>
    <w:rsid w:val="004D1205"/>
    <w:rsid w:val="004D1AFF"/>
    <w:rsid w:val="004E474A"/>
    <w:rsid w:val="004E62B0"/>
    <w:rsid w:val="004E68E7"/>
    <w:rsid w:val="004E78FC"/>
    <w:rsid w:val="004E7E05"/>
    <w:rsid w:val="004F1D70"/>
    <w:rsid w:val="004F49C3"/>
    <w:rsid w:val="004F6CB6"/>
    <w:rsid w:val="004F6F88"/>
    <w:rsid w:val="005012FD"/>
    <w:rsid w:val="00502347"/>
    <w:rsid w:val="00503B8E"/>
    <w:rsid w:val="00504A66"/>
    <w:rsid w:val="00507B01"/>
    <w:rsid w:val="00510342"/>
    <w:rsid w:val="005103EA"/>
    <w:rsid w:val="005104A9"/>
    <w:rsid w:val="00511C28"/>
    <w:rsid w:val="00512055"/>
    <w:rsid w:val="00512152"/>
    <w:rsid w:val="005131D9"/>
    <w:rsid w:val="005141F8"/>
    <w:rsid w:val="005164C8"/>
    <w:rsid w:val="00526EE2"/>
    <w:rsid w:val="005277E9"/>
    <w:rsid w:val="00527CCA"/>
    <w:rsid w:val="00527EF4"/>
    <w:rsid w:val="0053114A"/>
    <w:rsid w:val="005348DE"/>
    <w:rsid w:val="00537D92"/>
    <w:rsid w:val="00545798"/>
    <w:rsid w:val="0055149E"/>
    <w:rsid w:val="005527E5"/>
    <w:rsid w:val="00554CAB"/>
    <w:rsid w:val="00556042"/>
    <w:rsid w:val="00557DC8"/>
    <w:rsid w:val="005661F9"/>
    <w:rsid w:val="00567503"/>
    <w:rsid w:val="00570686"/>
    <w:rsid w:val="00570E86"/>
    <w:rsid w:val="0057101C"/>
    <w:rsid w:val="0057184D"/>
    <w:rsid w:val="00573C3E"/>
    <w:rsid w:val="0057599D"/>
    <w:rsid w:val="00575BC4"/>
    <w:rsid w:val="005761F6"/>
    <w:rsid w:val="005819EB"/>
    <w:rsid w:val="005829DC"/>
    <w:rsid w:val="005846D7"/>
    <w:rsid w:val="00584CAD"/>
    <w:rsid w:val="00585568"/>
    <w:rsid w:val="00586A10"/>
    <w:rsid w:val="00590DB7"/>
    <w:rsid w:val="00590F80"/>
    <w:rsid w:val="00591139"/>
    <w:rsid w:val="00591F00"/>
    <w:rsid w:val="00592C5A"/>
    <w:rsid w:val="005943C9"/>
    <w:rsid w:val="00597DB8"/>
    <w:rsid w:val="00597F30"/>
    <w:rsid w:val="005A11CB"/>
    <w:rsid w:val="005B2123"/>
    <w:rsid w:val="005B4944"/>
    <w:rsid w:val="005C14AD"/>
    <w:rsid w:val="005C310F"/>
    <w:rsid w:val="005C5316"/>
    <w:rsid w:val="005C7E13"/>
    <w:rsid w:val="005D396D"/>
    <w:rsid w:val="005D44B6"/>
    <w:rsid w:val="005D4D09"/>
    <w:rsid w:val="005D5933"/>
    <w:rsid w:val="005D6BCE"/>
    <w:rsid w:val="005E0F32"/>
    <w:rsid w:val="005E14A3"/>
    <w:rsid w:val="005E2179"/>
    <w:rsid w:val="005E6541"/>
    <w:rsid w:val="005F0507"/>
    <w:rsid w:val="005F064C"/>
    <w:rsid w:val="005F0C42"/>
    <w:rsid w:val="005F3444"/>
    <w:rsid w:val="005F7C93"/>
    <w:rsid w:val="00601DA5"/>
    <w:rsid w:val="00602157"/>
    <w:rsid w:val="0060492C"/>
    <w:rsid w:val="0060498D"/>
    <w:rsid w:val="0060598C"/>
    <w:rsid w:val="00606D37"/>
    <w:rsid w:val="006105DE"/>
    <w:rsid w:val="00613AC6"/>
    <w:rsid w:val="00615932"/>
    <w:rsid w:val="00615F24"/>
    <w:rsid w:val="006168C5"/>
    <w:rsid w:val="00620444"/>
    <w:rsid w:val="00620496"/>
    <w:rsid w:val="00621467"/>
    <w:rsid w:val="0062749B"/>
    <w:rsid w:val="00627792"/>
    <w:rsid w:val="00627C0F"/>
    <w:rsid w:val="00630716"/>
    <w:rsid w:val="0063402D"/>
    <w:rsid w:val="006343E8"/>
    <w:rsid w:val="00640F02"/>
    <w:rsid w:val="00641CE7"/>
    <w:rsid w:val="006434EC"/>
    <w:rsid w:val="00643585"/>
    <w:rsid w:val="00643AC5"/>
    <w:rsid w:val="00646DD6"/>
    <w:rsid w:val="00647BA6"/>
    <w:rsid w:val="00652D9B"/>
    <w:rsid w:val="006606B2"/>
    <w:rsid w:val="006635B3"/>
    <w:rsid w:val="00664018"/>
    <w:rsid w:val="00664F41"/>
    <w:rsid w:val="006653DB"/>
    <w:rsid w:val="00666445"/>
    <w:rsid w:val="00676AC8"/>
    <w:rsid w:val="0067708B"/>
    <w:rsid w:val="006865D8"/>
    <w:rsid w:val="00686DA6"/>
    <w:rsid w:val="00687BBB"/>
    <w:rsid w:val="00693ED1"/>
    <w:rsid w:val="006952B4"/>
    <w:rsid w:val="00696783"/>
    <w:rsid w:val="00696853"/>
    <w:rsid w:val="00696FC4"/>
    <w:rsid w:val="006A1C79"/>
    <w:rsid w:val="006A5F3D"/>
    <w:rsid w:val="006A71FD"/>
    <w:rsid w:val="006B0BBB"/>
    <w:rsid w:val="006B2F32"/>
    <w:rsid w:val="006B608B"/>
    <w:rsid w:val="006B60C9"/>
    <w:rsid w:val="006B7F40"/>
    <w:rsid w:val="006C2A99"/>
    <w:rsid w:val="006C2DD1"/>
    <w:rsid w:val="006C2EFC"/>
    <w:rsid w:val="006C2F99"/>
    <w:rsid w:val="006C315F"/>
    <w:rsid w:val="006C5356"/>
    <w:rsid w:val="006C633B"/>
    <w:rsid w:val="006D1B56"/>
    <w:rsid w:val="006D1D93"/>
    <w:rsid w:val="006D2871"/>
    <w:rsid w:val="006D3599"/>
    <w:rsid w:val="006D4931"/>
    <w:rsid w:val="006D537F"/>
    <w:rsid w:val="006D59E8"/>
    <w:rsid w:val="006D7DC6"/>
    <w:rsid w:val="006E037A"/>
    <w:rsid w:val="006E03D0"/>
    <w:rsid w:val="006E70B3"/>
    <w:rsid w:val="006E78FC"/>
    <w:rsid w:val="006F0E42"/>
    <w:rsid w:val="006F3483"/>
    <w:rsid w:val="006F472F"/>
    <w:rsid w:val="00703F97"/>
    <w:rsid w:val="00704EF6"/>
    <w:rsid w:val="00712B0C"/>
    <w:rsid w:val="00713DCF"/>
    <w:rsid w:val="00715EFD"/>
    <w:rsid w:val="0071744F"/>
    <w:rsid w:val="00720086"/>
    <w:rsid w:val="00721E27"/>
    <w:rsid w:val="00724D5D"/>
    <w:rsid w:val="00725BC3"/>
    <w:rsid w:val="00727285"/>
    <w:rsid w:val="0072781E"/>
    <w:rsid w:val="00730F9E"/>
    <w:rsid w:val="00732572"/>
    <w:rsid w:val="007345AA"/>
    <w:rsid w:val="0073720C"/>
    <w:rsid w:val="007373C7"/>
    <w:rsid w:val="007406EB"/>
    <w:rsid w:val="00740CB5"/>
    <w:rsid w:val="007420B6"/>
    <w:rsid w:val="007435F7"/>
    <w:rsid w:val="007471E6"/>
    <w:rsid w:val="00753441"/>
    <w:rsid w:val="00753A35"/>
    <w:rsid w:val="00753D04"/>
    <w:rsid w:val="007567CF"/>
    <w:rsid w:val="00761B6A"/>
    <w:rsid w:val="00761E75"/>
    <w:rsid w:val="00763D04"/>
    <w:rsid w:val="00765469"/>
    <w:rsid w:val="007660D8"/>
    <w:rsid w:val="00770B36"/>
    <w:rsid w:val="007716D1"/>
    <w:rsid w:val="0077372E"/>
    <w:rsid w:val="00773B20"/>
    <w:rsid w:val="00776211"/>
    <w:rsid w:val="007808A8"/>
    <w:rsid w:val="00783FD3"/>
    <w:rsid w:val="007853B9"/>
    <w:rsid w:val="00785881"/>
    <w:rsid w:val="007862AC"/>
    <w:rsid w:val="00791020"/>
    <w:rsid w:val="007913C5"/>
    <w:rsid w:val="00792EC2"/>
    <w:rsid w:val="00794192"/>
    <w:rsid w:val="00794CA8"/>
    <w:rsid w:val="007966DE"/>
    <w:rsid w:val="007A1F52"/>
    <w:rsid w:val="007A4111"/>
    <w:rsid w:val="007A4387"/>
    <w:rsid w:val="007B3A99"/>
    <w:rsid w:val="007B4AF8"/>
    <w:rsid w:val="007C3FF0"/>
    <w:rsid w:val="007D2B5C"/>
    <w:rsid w:val="007D3C5C"/>
    <w:rsid w:val="007D783C"/>
    <w:rsid w:val="007E3328"/>
    <w:rsid w:val="007E619C"/>
    <w:rsid w:val="007F0826"/>
    <w:rsid w:val="007F210D"/>
    <w:rsid w:val="007F2DCB"/>
    <w:rsid w:val="007F4174"/>
    <w:rsid w:val="007F4196"/>
    <w:rsid w:val="007F6E16"/>
    <w:rsid w:val="007F7D4E"/>
    <w:rsid w:val="008109E6"/>
    <w:rsid w:val="00810F29"/>
    <w:rsid w:val="008261E4"/>
    <w:rsid w:val="0082654C"/>
    <w:rsid w:val="00834C2C"/>
    <w:rsid w:val="0083536B"/>
    <w:rsid w:val="008358C3"/>
    <w:rsid w:val="00840EC4"/>
    <w:rsid w:val="008421AB"/>
    <w:rsid w:val="0084452D"/>
    <w:rsid w:val="00844D4D"/>
    <w:rsid w:val="0084650D"/>
    <w:rsid w:val="00851E4C"/>
    <w:rsid w:val="00853254"/>
    <w:rsid w:val="00860110"/>
    <w:rsid w:val="00862E3B"/>
    <w:rsid w:val="00864EF6"/>
    <w:rsid w:val="00865C99"/>
    <w:rsid w:val="00867E30"/>
    <w:rsid w:val="00870B38"/>
    <w:rsid w:val="0087231C"/>
    <w:rsid w:val="0088360D"/>
    <w:rsid w:val="00883CE5"/>
    <w:rsid w:val="00884E0B"/>
    <w:rsid w:val="00886ED8"/>
    <w:rsid w:val="008951A6"/>
    <w:rsid w:val="00895DB2"/>
    <w:rsid w:val="008965BA"/>
    <w:rsid w:val="0089786C"/>
    <w:rsid w:val="00897B4D"/>
    <w:rsid w:val="008A09E3"/>
    <w:rsid w:val="008A1B85"/>
    <w:rsid w:val="008A7A3D"/>
    <w:rsid w:val="008B05DD"/>
    <w:rsid w:val="008B7B60"/>
    <w:rsid w:val="008C24E0"/>
    <w:rsid w:val="008C54C6"/>
    <w:rsid w:val="008C59EC"/>
    <w:rsid w:val="008D025E"/>
    <w:rsid w:val="008D12A7"/>
    <w:rsid w:val="008D140F"/>
    <w:rsid w:val="008D190F"/>
    <w:rsid w:val="008D19DD"/>
    <w:rsid w:val="008D3F41"/>
    <w:rsid w:val="008D578C"/>
    <w:rsid w:val="008D629E"/>
    <w:rsid w:val="008E0C33"/>
    <w:rsid w:val="008E216D"/>
    <w:rsid w:val="008E3B8F"/>
    <w:rsid w:val="008E7187"/>
    <w:rsid w:val="008F0BC5"/>
    <w:rsid w:val="008F4AC2"/>
    <w:rsid w:val="008F52A8"/>
    <w:rsid w:val="008F5B78"/>
    <w:rsid w:val="009017CB"/>
    <w:rsid w:val="00904ED8"/>
    <w:rsid w:val="00907244"/>
    <w:rsid w:val="00907384"/>
    <w:rsid w:val="00915468"/>
    <w:rsid w:val="00921113"/>
    <w:rsid w:val="009212AD"/>
    <w:rsid w:val="009212C7"/>
    <w:rsid w:val="00923D14"/>
    <w:rsid w:val="0093114A"/>
    <w:rsid w:val="0093458A"/>
    <w:rsid w:val="0093731F"/>
    <w:rsid w:val="009401DC"/>
    <w:rsid w:val="0094106F"/>
    <w:rsid w:val="00942F9C"/>
    <w:rsid w:val="00944063"/>
    <w:rsid w:val="00945686"/>
    <w:rsid w:val="009459F6"/>
    <w:rsid w:val="00950FEF"/>
    <w:rsid w:val="0095279C"/>
    <w:rsid w:val="00952CE5"/>
    <w:rsid w:val="00953363"/>
    <w:rsid w:val="00955D48"/>
    <w:rsid w:val="00956227"/>
    <w:rsid w:val="00960A5C"/>
    <w:rsid w:val="0096260D"/>
    <w:rsid w:val="00966A1C"/>
    <w:rsid w:val="00970916"/>
    <w:rsid w:val="00971266"/>
    <w:rsid w:val="00972A0E"/>
    <w:rsid w:val="00972E4F"/>
    <w:rsid w:val="00980F9C"/>
    <w:rsid w:val="00981F03"/>
    <w:rsid w:val="0098206A"/>
    <w:rsid w:val="00983178"/>
    <w:rsid w:val="009834F0"/>
    <w:rsid w:val="00984F5A"/>
    <w:rsid w:val="00985051"/>
    <w:rsid w:val="009867BB"/>
    <w:rsid w:val="00986861"/>
    <w:rsid w:val="009870D0"/>
    <w:rsid w:val="0098738E"/>
    <w:rsid w:val="00987DC7"/>
    <w:rsid w:val="00992D02"/>
    <w:rsid w:val="00992EAB"/>
    <w:rsid w:val="00993AC7"/>
    <w:rsid w:val="00995090"/>
    <w:rsid w:val="009A1052"/>
    <w:rsid w:val="009A19FC"/>
    <w:rsid w:val="009A5DF2"/>
    <w:rsid w:val="009A6165"/>
    <w:rsid w:val="009B00C5"/>
    <w:rsid w:val="009B1CCE"/>
    <w:rsid w:val="009B32D8"/>
    <w:rsid w:val="009B7603"/>
    <w:rsid w:val="009B7D24"/>
    <w:rsid w:val="009C5791"/>
    <w:rsid w:val="009C61BE"/>
    <w:rsid w:val="009C67AC"/>
    <w:rsid w:val="009C6BE1"/>
    <w:rsid w:val="009C7B18"/>
    <w:rsid w:val="009D11A3"/>
    <w:rsid w:val="009D4182"/>
    <w:rsid w:val="009E1A00"/>
    <w:rsid w:val="009E43FF"/>
    <w:rsid w:val="009E7168"/>
    <w:rsid w:val="009F5474"/>
    <w:rsid w:val="009F7784"/>
    <w:rsid w:val="00A0180F"/>
    <w:rsid w:val="00A0381E"/>
    <w:rsid w:val="00A0499A"/>
    <w:rsid w:val="00A0602B"/>
    <w:rsid w:val="00A114C0"/>
    <w:rsid w:val="00A11C3F"/>
    <w:rsid w:val="00A168E4"/>
    <w:rsid w:val="00A175FE"/>
    <w:rsid w:val="00A207EE"/>
    <w:rsid w:val="00A234E5"/>
    <w:rsid w:val="00A23C3F"/>
    <w:rsid w:val="00A25412"/>
    <w:rsid w:val="00A25B12"/>
    <w:rsid w:val="00A2701A"/>
    <w:rsid w:val="00A273EA"/>
    <w:rsid w:val="00A33257"/>
    <w:rsid w:val="00A347A3"/>
    <w:rsid w:val="00A34D6D"/>
    <w:rsid w:val="00A45179"/>
    <w:rsid w:val="00A46570"/>
    <w:rsid w:val="00A47197"/>
    <w:rsid w:val="00A50283"/>
    <w:rsid w:val="00A504B1"/>
    <w:rsid w:val="00A5155D"/>
    <w:rsid w:val="00A52B51"/>
    <w:rsid w:val="00A55001"/>
    <w:rsid w:val="00A61663"/>
    <w:rsid w:val="00A625E6"/>
    <w:rsid w:val="00A62BFA"/>
    <w:rsid w:val="00A70881"/>
    <w:rsid w:val="00A70CB3"/>
    <w:rsid w:val="00A7128C"/>
    <w:rsid w:val="00A7190E"/>
    <w:rsid w:val="00A731D4"/>
    <w:rsid w:val="00A73F20"/>
    <w:rsid w:val="00A7617D"/>
    <w:rsid w:val="00A83808"/>
    <w:rsid w:val="00A83ACC"/>
    <w:rsid w:val="00A901C0"/>
    <w:rsid w:val="00A92328"/>
    <w:rsid w:val="00A95A3D"/>
    <w:rsid w:val="00A96E34"/>
    <w:rsid w:val="00AA3559"/>
    <w:rsid w:val="00AB47A7"/>
    <w:rsid w:val="00AB4947"/>
    <w:rsid w:val="00AC7BFC"/>
    <w:rsid w:val="00AD1AFF"/>
    <w:rsid w:val="00AD2874"/>
    <w:rsid w:val="00AD54B5"/>
    <w:rsid w:val="00AE1C31"/>
    <w:rsid w:val="00AE2820"/>
    <w:rsid w:val="00AE5177"/>
    <w:rsid w:val="00AE54A6"/>
    <w:rsid w:val="00AF341D"/>
    <w:rsid w:val="00B0164A"/>
    <w:rsid w:val="00B0399C"/>
    <w:rsid w:val="00B04CEF"/>
    <w:rsid w:val="00B06F99"/>
    <w:rsid w:val="00B11A85"/>
    <w:rsid w:val="00B121F3"/>
    <w:rsid w:val="00B16773"/>
    <w:rsid w:val="00B169C1"/>
    <w:rsid w:val="00B16FD9"/>
    <w:rsid w:val="00B204B7"/>
    <w:rsid w:val="00B254C0"/>
    <w:rsid w:val="00B26DE0"/>
    <w:rsid w:val="00B31330"/>
    <w:rsid w:val="00B32B78"/>
    <w:rsid w:val="00B352BE"/>
    <w:rsid w:val="00B401D6"/>
    <w:rsid w:val="00B40C72"/>
    <w:rsid w:val="00B42FBC"/>
    <w:rsid w:val="00B430E3"/>
    <w:rsid w:val="00B431C4"/>
    <w:rsid w:val="00B44C40"/>
    <w:rsid w:val="00B458AC"/>
    <w:rsid w:val="00B45A33"/>
    <w:rsid w:val="00B46FD0"/>
    <w:rsid w:val="00B52016"/>
    <w:rsid w:val="00B547A5"/>
    <w:rsid w:val="00B56D55"/>
    <w:rsid w:val="00B62216"/>
    <w:rsid w:val="00B63D09"/>
    <w:rsid w:val="00B70502"/>
    <w:rsid w:val="00B71B7D"/>
    <w:rsid w:val="00B71D03"/>
    <w:rsid w:val="00B723F8"/>
    <w:rsid w:val="00B75B91"/>
    <w:rsid w:val="00B75BE3"/>
    <w:rsid w:val="00B75DB3"/>
    <w:rsid w:val="00B775BB"/>
    <w:rsid w:val="00B77E2E"/>
    <w:rsid w:val="00B80338"/>
    <w:rsid w:val="00B8290F"/>
    <w:rsid w:val="00B8324F"/>
    <w:rsid w:val="00B86F91"/>
    <w:rsid w:val="00B87221"/>
    <w:rsid w:val="00B906F7"/>
    <w:rsid w:val="00B9667E"/>
    <w:rsid w:val="00BA2622"/>
    <w:rsid w:val="00BA5CD6"/>
    <w:rsid w:val="00BA70EF"/>
    <w:rsid w:val="00BB1532"/>
    <w:rsid w:val="00BB1ECE"/>
    <w:rsid w:val="00BB471F"/>
    <w:rsid w:val="00BB60E3"/>
    <w:rsid w:val="00BC4DDC"/>
    <w:rsid w:val="00BC5FAA"/>
    <w:rsid w:val="00BC7A1D"/>
    <w:rsid w:val="00BD0CD7"/>
    <w:rsid w:val="00BD1BF0"/>
    <w:rsid w:val="00BD50B5"/>
    <w:rsid w:val="00BD5B99"/>
    <w:rsid w:val="00BD710E"/>
    <w:rsid w:val="00BE1529"/>
    <w:rsid w:val="00BE27B6"/>
    <w:rsid w:val="00BE391D"/>
    <w:rsid w:val="00BE60A3"/>
    <w:rsid w:val="00BF0A6F"/>
    <w:rsid w:val="00BF1FE3"/>
    <w:rsid w:val="00BF28A5"/>
    <w:rsid w:val="00BF32BD"/>
    <w:rsid w:val="00BF4584"/>
    <w:rsid w:val="00BF4667"/>
    <w:rsid w:val="00BF5622"/>
    <w:rsid w:val="00BF6658"/>
    <w:rsid w:val="00C000A7"/>
    <w:rsid w:val="00C027DF"/>
    <w:rsid w:val="00C02F6B"/>
    <w:rsid w:val="00C03C16"/>
    <w:rsid w:val="00C04F0B"/>
    <w:rsid w:val="00C0747A"/>
    <w:rsid w:val="00C11F21"/>
    <w:rsid w:val="00C14341"/>
    <w:rsid w:val="00C169B6"/>
    <w:rsid w:val="00C225AD"/>
    <w:rsid w:val="00C27CB6"/>
    <w:rsid w:val="00C3029B"/>
    <w:rsid w:val="00C31CCC"/>
    <w:rsid w:val="00C36FA8"/>
    <w:rsid w:val="00C41C83"/>
    <w:rsid w:val="00C4240B"/>
    <w:rsid w:val="00C44AF1"/>
    <w:rsid w:val="00C44B04"/>
    <w:rsid w:val="00C508E3"/>
    <w:rsid w:val="00C5189C"/>
    <w:rsid w:val="00C51D0D"/>
    <w:rsid w:val="00C53FBB"/>
    <w:rsid w:val="00C55A02"/>
    <w:rsid w:val="00C56FDD"/>
    <w:rsid w:val="00C57A08"/>
    <w:rsid w:val="00C57BC4"/>
    <w:rsid w:val="00C60162"/>
    <w:rsid w:val="00C63B44"/>
    <w:rsid w:val="00C63DB7"/>
    <w:rsid w:val="00C734A8"/>
    <w:rsid w:val="00C7356F"/>
    <w:rsid w:val="00C73DAF"/>
    <w:rsid w:val="00C7624F"/>
    <w:rsid w:val="00C767C6"/>
    <w:rsid w:val="00C8086F"/>
    <w:rsid w:val="00C80B7F"/>
    <w:rsid w:val="00C82291"/>
    <w:rsid w:val="00C82A14"/>
    <w:rsid w:val="00C83B12"/>
    <w:rsid w:val="00C87F26"/>
    <w:rsid w:val="00C9040F"/>
    <w:rsid w:val="00C906C2"/>
    <w:rsid w:val="00C9072D"/>
    <w:rsid w:val="00C907A7"/>
    <w:rsid w:val="00C91EEE"/>
    <w:rsid w:val="00C9349C"/>
    <w:rsid w:val="00C954E5"/>
    <w:rsid w:val="00C9716B"/>
    <w:rsid w:val="00CA38F1"/>
    <w:rsid w:val="00CA49AC"/>
    <w:rsid w:val="00CB09B8"/>
    <w:rsid w:val="00CB1A1A"/>
    <w:rsid w:val="00CB266A"/>
    <w:rsid w:val="00CB2C42"/>
    <w:rsid w:val="00CB30A1"/>
    <w:rsid w:val="00CB32D1"/>
    <w:rsid w:val="00CB37A4"/>
    <w:rsid w:val="00CB4A78"/>
    <w:rsid w:val="00CB5276"/>
    <w:rsid w:val="00CB62CE"/>
    <w:rsid w:val="00CB7175"/>
    <w:rsid w:val="00CC1E0C"/>
    <w:rsid w:val="00CC5B04"/>
    <w:rsid w:val="00CC62D8"/>
    <w:rsid w:val="00CD1724"/>
    <w:rsid w:val="00CD41AD"/>
    <w:rsid w:val="00CD53AC"/>
    <w:rsid w:val="00CD559E"/>
    <w:rsid w:val="00CD7CD5"/>
    <w:rsid w:val="00CE6FEE"/>
    <w:rsid w:val="00CF0445"/>
    <w:rsid w:val="00CF3B8A"/>
    <w:rsid w:val="00CF47B7"/>
    <w:rsid w:val="00CF4A97"/>
    <w:rsid w:val="00CF50A7"/>
    <w:rsid w:val="00CF51A5"/>
    <w:rsid w:val="00CF5A36"/>
    <w:rsid w:val="00CF68EE"/>
    <w:rsid w:val="00D01F79"/>
    <w:rsid w:val="00D039FA"/>
    <w:rsid w:val="00D05A67"/>
    <w:rsid w:val="00D05D5E"/>
    <w:rsid w:val="00D13038"/>
    <w:rsid w:val="00D157D2"/>
    <w:rsid w:val="00D206F2"/>
    <w:rsid w:val="00D20A15"/>
    <w:rsid w:val="00D20E27"/>
    <w:rsid w:val="00D217C5"/>
    <w:rsid w:val="00D21A7B"/>
    <w:rsid w:val="00D21B90"/>
    <w:rsid w:val="00D32D4C"/>
    <w:rsid w:val="00D3447F"/>
    <w:rsid w:val="00D34CD1"/>
    <w:rsid w:val="00D36305"/>
    <w:rsid w:val="00D4392C"/>
    <w:rsid w:val="00D44BDF"/>
    <w:rsid w:val="00D44ECE"/>
    <w:rsid w:val="00D4511C"/>
    <w:rsid w:val="00D45D03"/>
    <w:rsid w:val="00D54678"/>
    <w:rsid w:val="00D55281"/>
    <w:rsid w:val="00D55919"/>
    <w:rsid w:val="00D56C99"/>
    <w:rsid w:val="00D60427"/>
    <w:rsid w:val="00D61077"/>
    <w:rsid w:val="00D647D4"/>
    <w:rsid w:val="00D648BA"/>
    <w:rsid w:val="00D72484"/>
    <w:rsid w:val="00D740C4"/>
    <w:rsid w:val="00D8350A"/>
    <w:rsid w:val="00D835FF"/>
    <w:rsid w:val="00D848E5"/>
    <w:rsid w:val="00D91CDB"/>
    <w:rsid w:val="00D9285E"/>
    <w:rsid w:val="00D9620B"/>
    <w:rsid w:val="00D97AF1"/>
    <w:rsid w:val="00DA16E8"/>
    <w:rsid w:val="00DA29ED"/>
    <w:rsid w:val="00DA40C8"/>
    <w:rsid w:val="00DA798C"/>
    <w:rsid w:val="00DA79E2"/>
    <w:rsid w:val="00DA7D37"/>
    <w:rsid w:val="00DB09BD"/>
    <w:rsid w:val="00DB23F1"/>
    <w:rsid w:val="00DB4898"/>
    <w:rsid w:val="00DB51D3"/>
    <w:rsid w:val="00DB7C94"/>
    <w:rsid w:val="00DC29B3"/>
    <w:rsid w:val="00DC3ACD"/>
    <w:rsid w:val="00DC3C8C"/>
    <w:rsid w:val="00DC5EA9"/>
    <w:rsid w:val="00DC64C5"/>
    <w:rsid w:val="00DC6581"/>
    <w:rsid w:val="00DD0C4A"/>
    <w:rsid w:val="00DD1349"/>
    <w:rsid w:val="00DD1808"/>
    <w:rsid w:val="00DD1B1F"/>
    <w:rsid w:val="00DD2434"/>
    <w:rsid w:val="00DD3CE1"/>
    <w:rsid w:val="00DD3FBC"/>
    <w:rsid w:val="00DD524F"/>
    <w:rsid w:val="00DE26AC"/>
    <w:rsid w:val="00DE2B8D"/>
    <w:rsid w:val="00DE2D88"/>
    <w:rsid w:val="00DE534A"/>
    <w:rsid w:val="00DE67DA"/>
    <w:rsid w:val="00DF03FB"/>
    <w:rsid w:val="00DF368B"/>
    <w:rsid w:val="00DF41FC"/>
    <w:rsid w:val="00DF5F01"/>
    <w:rsid w:val="00DF7D23"/>
    <w:rsid w:val="00E007BA"/>
    <w:rsid w:val="00E01FC5"/>
    <w:rsid w:val="00E02A90"/>
    <w:rsid w:val="00E0402D"/>
    <w:rsid w:val="00E04FF0"/>
    <w:rsid w:val="00E050FB"/>
    <w:rsid w:val="00E12326"/>
    <w:rsid w:val="00E17916"/>
    <w:rsid w:val="00E20B11"/>
    <w:rsid w:val="00E21C6D"/>
    <w:rsid w:val="00E22550"/>
    <w:rsid w:val="00E22AAE"/>
    <w:rsid w:val="00E22B82"/>
    <w:rsid w:val="00E244C4"/>
    <w:rsid w:val="00E246D7"/>
    <w:rsid w:val="00E2521D"/>
    <w:rsid w:val="00E26796"/>
    <w:rsid w:val="00E26C9C"/>
    <w:rsid w:val="00E27599"/>
    <w:rsid w:val="00E32E24"/>
    <w:rsid w:val="00E419ED"/>
    <w:rsid w:val="00E457BF"/>
    <w:rsid w:val="00E51876"/>
    <w:rsid w:val="00E53603"/>
    <w:rsid w:val="00E538D5"/>
    <w:rsid w:val="00E60855"/>
    <w:rsid w:val="00E60BE8"/>
    <w:rsid w:val="00E60CC8"/>
    <w:rsid w:val="00E6148A"/>
    <w:rsid w:val="00E66512"/>
    <w:rsid w:val="00E6670B"/>
    <w:rsid w:val="00E710EC"/>
    <w:rsid w:val="00E7176F"/>
    <w:rsid w:val="00E73C9B"/>
    <w:rsid w:val="00E74141"/>
    <w:rsid w:val="00E8225A"/>
    <w:rsid w:val="00E83020"/>
    <w:rsid w:val="00E877AE"/>
    <w:rsid w:val="00E903BB"/>
    <w:rsid w:val="00E90449"/>
    <w:rsid w:val="00E90BDB"/>
    <w:rsid w:val="00E91703"/>
    <w:rsid w:val="00E93FEC"/>
    <w:rsid w:val="00E95433"/>
    <w:rsid w:val="00E97CCA"/>
    <w:rsid w:val="00EA6443"/>
    <w:rsid w:val="00EA774D"/>
    <w:rsid w:val="00EB4018"/>
    <w:rsid w:val="00EB76F5"/>
    <w:rsid w:val="00EC2497"/>
    <w:rsid w:val="00EC51E9"/>
    <w:rsid w:val="00EC6642"/>
    <w:rsid w:val="00ED1D94"/>
    <w:rsid w:val="00ED24B5"/>
    <w:rsid w:val="00ED35C7"/>
    <w:rsid w:val="00ED55EF"/>
    <w:rsid w:val="00ED5E14"/>
    <w:rsid w:val="00EE41DD"/>
    <w:rsid w:val="00EE6762"/>
    <w:rsid w:val="00EF0750"/>
    <w:rsid w:val="00EF2466"/>
    <w:rsid w:val="00EF2A81"/>
    <w:rsid w:val="00EF3353"/>
    <w:rsid w:val="00EF3848"/>
    <w:rsid w:val="00EF3D60"/>
    <w:rsid w:val="00EF489A"/>
    <w:rsid w:val="00F0007A"/>
    <w:rsid w:val="00F027DD"/>
    <w:rsid w:val="00F036E7"/>
    <w:rsid w:val="00F077E8"/>
    <w:rsid w:val="00F1052D"/>
    <w:rsid w:val="00F13E49"/>
    <w:rsid w:val="00F14823"/>
    <w:rsid w:val="00F16647"/>
    <w:rsid w:val="00F16DB4"/>
    <w:rsid w:val="00F20166"/>
    <w:rsid w:val="00F25A62"/>
    <w:rsid w:val="00F33904"/>
    <w:rsid w:val="00F367B0"/>
    <w:rsid w:val="00F41505"/>
    <w:rsid w:val="00F42B57"/>
    <w:rsid w:val="00F4695D"/>
    <w:rsid w:val="00F51289"/>
    <w:rsid w:val="00F5400A"/>
    <w:rsid w:val="00F5620A"/>
    <w:rsid w:val="00F57532"/>
    <w:rsid w:val="00F63815"/>
    <w:rsid w:val="00F66528"/>
    <w:rsid w:val="00F71283"/>
    <w:rsid w:val="00F7166B"/>
    <w:rsid w:val="00F71950"/>
    <w:rsid w:val="00F72263"/>
    <w:rsid w:val="00F72370"/>
    <w:rsid w:val="00F72386"/>
    <w:rsid w:val="00F72A9F"/>
    <w:rsid w:val="00F73762"/>
    <w:rsid w:val="00F73FB9"/>
    <w:rsid w:val="00F80172"/>
    <w:rsid w:val="00F845C3"/>
    <w:rsid w:val="00F86A36"/>
    <w:rsid w:val="00F904A3"/>
    <w:rsid w:val="00F91628"/>
    <w:rsid w:val="00F91A58"/>
    <w:rsid w:val="00F92295"/>
    <w:rsid w:val="00F93E15"/>
    <w:rsid w:val="00F95414"/>
    <w:rsid w:val="00F96AB7"/>
    <w:rsid w:val="00F975E5"/>
    <w:rsid w:val="00FA0C42"/>
    <w:rsid w:val="00FA23DE"/>
    <w:rsid w:val="00FA2EAA"/>
    <w:rsid w:val="00FA3AF3"/>
    <w:rsid w:val="00FA5AE7"/>
    <w:rsid w:val="00FA7006"/>
    <w:rsid w:val="00FA7229"/>
    <w:rsid w:val="00FA7CF8"/>
    <w:rsid w:val="00FB09D7"/>
    <w:rsid w:val="00FB11AF"/>
    <w:rsid w:val="00FB17D0"/>
    <w:rsid w:val="00FB24B6"/>
    <w:rsid w:val="00FB435B"/>
    <w:rsid w:val="00FB5E35"/>
    <w:rsid w:val="00FC1E2B"/>
    <w:rsid w:val="00FC4BB9"/>
    <w:rsid w:val="00FD0FD5"/>
    <w:rsid w:val="00FD2B52"/>
    <w:rsid w:val="00FD3FD7"/>
    <w:rsid w:val="00FD5EC6"/>
    <w:rsid w:val="00FE2277"/>
    <w:rsid w:val="00FE41A3"/>
    <w:rsid w:val="00FE47DF"/>
    <w:rsid w:val="00FE5921"/>
    <w:rsid w:val="00FF213D"/>
    <w:rsid w:val="00FF2ABB"/>
    <w:rsid w:val="00FF4816"/>
    <w:rsid w:val="00FF51A9"/>
    <w:rsid w:val="00FF5530"/>
    <w:rsid w:val="00FF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950"/>
    <w:rPr>
      <w:rFonts w:ascii="Arial" w:hAnsi="Arial"/>
      <w:sz w:val="24"/>
      <w:lang w:eastAsia="en-US"/>
    </w:rPr>
  </w:style>
  <w:style w:type="paragraph" w:styleId="Heading1">
    <w:name w:val="heading 1"/>
    <w:basedOn w:val="Heading2"/>
    <w:next w:val="Normal"/>
    <w:qFormat/>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pPr>
      <w:tabs>
        <w:tab w:val="center" w:pos="4153"/>
        <w:tab w:val="right" w:pos="8306"/>
      </w:tabs>
    </w:pPr>
  </w:style>
  <w:style w:type="paragraph" w:styleId="BodyText3">
    <w:name w:val="Body Text 3"/>
    <w:basedOn w:val="Normal"/>
    <w:pPr>
      <w:jc w:val="both"/>
    </w:pPr>
    <w:rPr>
      <w:rFonts w:cs="Arial"/>
      <w:szCs w:val="24"/>
    </w:rPr>
  </w:style>
  <w:style w:type="paragraph" w:styleId="BodyTextIndent">
    <w:name w:val="Body Text Indent"/>
    <w:basedOn w:val="Normal"/>
    <w:pPr>
      <w:ind w:left="289" w:hanging="5"/>
      <w:jc w:val="both"/>
    </w:pPr>
    <w:rPr>
      <w:rFonts w:cs="Arial"/>
      <w:szCs w:val="22"/>
    </w:rPr>
  </w:style>
  <w:style w:type="paragraph" w:customStyle="1" w:styleId="infotext0">
    <w:name w:val="infotext"/>
    <w:basedOn w:val="Normal"/>
    <w:pPr>
      <w:spacing w:before="100" w:beforeAutospacing="1" w:after="100" w:afterAutospacing="1"/>
    </w:pPr>
    <w:rPr>
      <w:rFonts w:ascii="Times New Roman" w:hAnsi="Times New Roman"/>
      <w:szCs w:val="24"/>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cs="Arial"/>
      <w:szCs w:val="24"/>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character" w:styleId="Hyperlink">
    <w:name w:val="Hyperlink"/>
    <w:rPr>
      <w:rFonts w:ascii="Arial" w:hAnsi="Arial" w:cs="Arial"/>
      <w:color w:val="0000FF"/>
      <w:sz w:val="24"/>
      <w:u w:val="single"/>
      <w:lang w:val="en-GB" w:eastAsia="en-US" w:bidi="ar-SA"/>
    </w:rPr>
  </w:style>
  <w:style w:type="paragraph" w:styleId="BodyText2">
    <w:name w:val="Body Text 2"/>
    <w:basedOn w:val="Normal"/>
    <w:pPr>
      <w:spacing w:before="90"/>
      <w:jc w:val="both"/>
    </w:pPr>
    <w:rPr>
      <w:rFonts w:cs="Arial"/>
      <w:sz w:val="20"/>
      <w:szCs w:val="22"/>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num" w:pos="374"/>
      </w:tabs>
      <w:ind w:left="374" w:hanging="374"/>
      <w:jc w:val="both"/>
    </w:pPr>
    <w:rPr>
      <w:rFonts w:cs="Arial"/>
      <w:bCs/>
    </w:rPr>
  </w:style>
  <w:style w:type="character" w:styleId="CommentReference">
    <w:name w:val="annotation reference"/>
    <w:semiHidden/>
    <w:rPr>
      <w:rFonts w:ascii="Arial" w:hAnsi="Arial" w:cs="Arial"/>
      <w:sz w:val="16"/>
      <w:szCs w:val="16"/>
      <w:lang w:val="en-GB" w:eastAsia="en-US" w:bidi="ar-SA"/>
    </w:rPr>
  </w:style>
  <w:style w:type="paragraph" w:customStyle="1" w:styleId="xl32">
    <w:name w:val="xl32"/>
    <w:basedOn w:val="Normal"/>
    <w:pPr>
      <w:pBdr>
        <w:left w:val="single" w:sz="4" w:space="0" w:color="auto"/>
      </w:pBdr>
      <w:spacing w:before="100" w:beforeAutospacing="1" w:after="100" w:afterAutospacing="1"/>
    </w:pPr>
    <w:rPr>
      <w:rFonts w:eastAsia="Arial Unicode MS" w:cs="Arial"/>
      <w:szCs w:val="24"/>
    </w:rPr>
  </w:style>
  <w:style w:type="paragraph" w:styleId="BlockText">
    <w:name w:val="Block Text"/>
    <w:basedOn w:val="Normal"/>
    <w:pPr>
      <w:ind w:left="567" w:right="141" w:hanging="567"/>
      <w:jc w:val="both"/>
    </w:pPr>
  </w:style>
  <w:style w:type="paragraph" w:customStyle="1" w:styleId="bullet4">
    <w:name w:val="bullet4"/>
    <w:basedOn w:val="Normal"/>
    <w:pPr>
      <w:numPr>
        <w:numId w:val="1"/>
      </w:numPr>
    </w:pPr>
  </w:style>
  <w:style w:type="character" w:styleId="PageNumber">
    <w:name w:val="page number"/>
    <w:basedOn w:val="DefaultParagraphFont"/>
    <w:rPr>
      <w:rFonts w:ascii="Arial" w:hAnsi="Arial" w:cs="Arial"/>
      <w:sz w:val="24"/>
      <w:lang w:val="en-GB" w:eastAsia="en-US" w:bidi="ar-SA"/>
    </w:rPr>
  </w:style>
  <w:style w:type="paragraph" w:customStyle="1" w:styleId="CharChar1Char">
    <w:name w:val="Char Char1 Char"/>
    <w:basedOn w:val="Normal"/>
    <w:pPr>
      <w:spacing w:after="160" w:line="240" w:lineRule="exact"/>
    </w:pPr>
    <w:rPr>
      <w:rFonts w:ascii="Tahoma" w:hAnsi="Tahoma"/>
      <w:sz w:val="20"/>
      <w:lang w:eastAsia="en-GB"/>
    </w:rPr>
  </w:style>
  <w:style w:type="paragraph" w:customStyle="1" w:styleId="CharChar">
    <w:name w:val="Char Char"/>
    <w:basedOn w:val="Normal"/>
    <w:rPr>
      <w:rFonts w:cs="Arial"/>
    </w:rPr>
  </w:style>
  <w:style w:type="paragraph" w:customStyle="1" w:styleId="NormalArial">
    <w:name w:val="Normal + Arial"/>
    <w:basedOn w:val="Normal"/>
    <w:pPr>
      <w:adjustRightInd w:val="0"/>
    </w:pPr>
    <w:rPr>
      <w:rFonts w:cs="Arial"/>
      <w:szCs w:val="24"/>
      <w:lang w:eastAsia="en-GB"/>
    </w:rPr>
  </w:style>
  <w:style w:type="paragraph" w:customStyle="1" w:styleId="Style1">
    <w:name w:val="Style1"/>
    <w:basedOn w:val="Normal"/>
    <w:pPr>
      <w:numPr>
        <w:numId w:val="2"/>
      </w:numPr>
      <w:tabs>
        <w:tab w:val="clear" w:pos="786"/>
      </w:tabs>
      <w:spacing w:before="120" w:after="120"/>
      <w:ind w:left="364"/>
    </w:pPr>
    <w:rPr>
      <w:rFonts w:cs="Arial"/>
      <w:szCs w:val="24"/>
    </w:rPr>
  </w:style>
  <w:style w:type="character" w:customStyle="1" w:styleId="PlainTextChar">
    <w:name w:val="Plain Text Char"/>
    <w:link w:val="PlainText"/>
    <w:semiHidden/>
    <w:locked/>
    <w:rsid w:val="00464EC7"/>
    <w:rPr>
      <w:rFonts w:ascii="Arial" w:hAnsi="Arial" w:cs="Arial"/>
      <w:sz w:val="24"/>
      <w:szCs w:val="21"/>
      <w:lang w:val="en-GB" w:eastAsia="en-GB" w:bidi="ar-SA"/>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customStyle="1" w:styleId="font6">
    <w:name w:val="font6"/>
    <w:basedOn w:val="Normal"/>
    <w:pPr>
      <w:spacing w:before="100" w:beforeAutospacing="1" w:after="100" w:afterAutospacing="1"/>
    </w:pPr>
    <w:rPr>
      <w:rFonts w:eastAsia="Arial Unicode MS" w:cs="Arial"/>
      <w:b/>
      <w:bCs/>
      <w:sz w:val="16"/>
      <w:szCs w:val="16"/>
    </w:rPr>
  </w:style>
  <w:style w:type="paragraph" w:customStyle="1" w:styleId="xl73">
    <w:name w:val="xl73"/>
    <w:basedOn w:val="Normal"/>
    <w:pPr>
      <w:spacing w:before="100" w:beforeAutospacing="1" w:after="100" w:afterAutospacing="1"/>
    </w:pPr>
    <w:rPr>
      <w:rFonts w:eastAsia="Arial Unicode MS" w:cs="Arial"/>
      <w:sz w:val="16"/>
      <w:szCs w:val="16"/>
    </w:rPr>
  </w:style>
  <w:style w:type="paragraph" w:customStyle="1" w:styleId="xl74">
    <w:name w:val="xl7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6">
    <w:name w:val="xl76"/>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8">
    <w:name w:val="xl78"/>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79">
    <w:name w:val="xl7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81">
    <w:name w:val="xl8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83">
    <w:name w:val="xl83"/>
    <w:basedOn w:val="Normal"/>
    <w:pPr>
      <w:pBdr>
        <w:left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4">
    <w:name w:val="xl84"/>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5">
    <w:name w:val="xl85"/>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87">
    <w:name w:val="xl87"/>
    <w:basedOn w:val="Normal"/>
    <w:pPr>
      <w:pBdr>
        <w:top w:val="single" w:sz="4" w:space="0" w:color="auto"/>
        <w:left w:val="single" w:sz="4" w:space="0" w:color="auto"/>
        <w:bottom w:val="single" w:sz="8" w:space="0" w:color="auto"/>
      </w:pBdr>
      <w:spacing w:before="100" w:beforeAutospacing="1" w:after="100" w:afterAutospacing="1"/>
      <w:jc w:val="right"/>
      <w:textAlignment w:val="top"/>
    </w:pPr>
    <w:rPr>
      <w:rFonts w:eastAsia="Arial Unicode MS" w:cs="Arial"/>
      <w:b/>
      <w:bCs/>
      <w:sz w:val="16"/>
      <w:szCs w:val="16"/>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89">
    <w:name w:val="xl89"/>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0">
    <w:name w:val="xl90"/>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1">
    <w:name w:val="xl9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92">
    <w:name w:val="xl92"/>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94">
    <w:name w:val="xl9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6">
    <w:name w:val="xl96"/>
    <w:basedOn w:val="Normal"/>
    <w:pPr>
      <w:spacing w:before="100" w:beforeAutospacing="1" w:after="100" w:afterAutospacing="1"/>
      <w:jc w:val="right"/>
    </w:pPr>
    <w:rPr>
      <w:rFonts w:eastAsia="Arial Unicode MS" w:cs="Arial"/>
      <w:sz w:val="16"/>
      <w:szCs w:val="16"/>
    </w:rPr>
  </w:style>
  <w:style w:type="paragraph" w:customStyle="1" w:styleId="xl97">
    <w:name w:val="xl97"/>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8">
    <w:name w:val="xl98"/>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9">
    <w:name w:val="xl9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100">
    <w:name w:val="xl10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101">
    <w:name w:val="xl101"/>
    <w:basedOn w:val="Normal"/>
    <w:pPr>
      <w:pBdr>
        <w:left w:val="single" w:sz="8"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2">
    <w:name w:val="xl102"/>
    <w:basedOn w:val="Normal"/>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103">
    <w:name w:val="xl103"/>
    <w:basedOn w:val="Normal"/>
    <w:pPr>
      <w:spacing w:before="100" w:beforeAutospacing="1" w:after="100" w:afterAutospacing="1"/>
      <w:jc w:val="right"/>
      <w:textAlignment w:val="top"/>
    </w:pPr>
    <w:rPr>
      <w:rFonts w:eastAsia="Arial Unicode MS" w:cs="Arial"/>
      <w:b/>
      <w:bCs/>
      <w:sz w:val="16"/>
      <w:szCs w:val="16"/>
    </w:rPr>
  </w:style>
  <w:style w:type="paragraph" w:customStyle="1" w:styleId="xl104">
    <w:name w:val="xl104"/>
    <w:basedOn w:val="Normal"/>
    <w:pPr>
      <w:spacing w:before="100" w:beforeAutospacing="1" w:after="100" w:afterAutospacing="1"/>
      <w:jc w:val="both"/>
      <w:textAlignment w:val="top"/>
    </w:pPr>
    <w:rPr>
      <w:rFonts w:eastAsia="Arial Unicode MS" w:cs="Arial"/>
      <w:b/>
      <w:bCs/>
      <w:sz w:val="16"/>
      <w:szCs w:val="16"/>
    </w:rPr>
  </w:style>
  <w:style w:type="paragraph" w:customStyle="1" w:styleId="xl105">
    <w:name w:val="xl105"/>
    <w:basedOn w:val="Normal"/>
    <w:pPr>
      <w:pBdr>
        <w:left w:val="single" w:sz="8" w:space="0" w:color="auto"/>
        <w:right w:val="single" w:sz="8" w:space="0" w:color="auto"/>
      </w:pBdr>
      <w:spacing w:before="100" w:beforeAutospacing="1" w:after="100" w:afterAutospacing="1"/>
      <w:textAlignment w:val="top"/>
    </w:pPr>
    <w:rPr>
      <w:rFonts w:eastAsia="Arial Unicode MS" w:cs="Arial"/>
      <w:b/>
      <w:bCs/>
      <w:sz w:val="16"/>
      <w:szCs w:val="16"/>
    </w:rPr>
  </w:style>
  <w:style w:type="paragraph" w:customStyle="1" w:styleId="xl106">
    <w:name w:val="xl106"/>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7">
    <w:name w:val="xl107"/>
    <w:basedOn w:val="Normal"/>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8">
    <w:name w:val="xl10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09">
    <w:name w:val="xl109"/>
    <w:basedOn w:val="Normal"/>
    <w:pPr>
      <w:pBdr>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1">
    <w:name w:val="xl111"/>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font7">
    <w:name w:val="font7"/>
    <w:basedOn w:val="Normal"/>
    <w:pPr>
      <w:spacing w:before="100" w:beforeAutospacing="1" w:after="100" w:afterAutospacing="1"/>
    </w:pPr>
    <w:rPr>
      <w:rFonts w:eastAsia="Arial Unicode MS" w:cs="Arial"/>
      <w:sz w:val="16"/>
      <w:szCs w:val="16"/>
    </w:rPr>
  </w:style>
  <w:style w:type="paragraph" w:customStyle="1" w:styleId="xl24">
    <w:name w:val="xl24"/>
    <w:basedOn w:val="Normal"/>
    <w:pP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37">
    <w:name w:val="xl37"/>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8">
    <w:name w:val="xl38"/>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1">
    <w:name w:val="xl41"/>
    <w:basedOn w:val="Normal"/>
    <w:pPr>
      <w:spacing w:before="100" w:beforeAutospacing="1" w:after="100" w:afterAutospacing="1"/>
      <w:jc w:val="center"/>
      <w:textAlignment w:val="top"/>
    </w:pPr>
    <w:rPr>
      <w:rFonts w:eastAsia="Arial Unicode MS" w:cs="Arial"/>
      <w:szCs w:val="24"/>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49">
    <w:name w:val="xl4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0">
    <w:name w:val="xl50"/>
    <w:basedOn w:val="Normal"/>
    <w:pPr>
      <w:pBdr>
        <w:top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51">
    <w:name w:val="xl51"/>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4">
    <w:name w:val="xl54"/>
    <w:basedOn w:val="Normal"/>
    <w:pPr>
      <w:pBdr>
        <w:left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5">
    <w:name w:val="xl55"/>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eastAsia="Arial Unicode MS" w:cs="Arial"/>
      <w:b/>
      <w:bCs/>
      <w:szCs w:val="24"/>
    </w:rPr>
  </w:style>
  <w:style w:type="paragraph" w:customStyle="1" w:styleId="xl58">
    <w:name w:val="xl58"/>
    <w:basedOn w:val="Normal"/>
    <w:pPr>
      <w:spacing w:before="100" w:beforeAutospacing="1" w:after="100" w:afterAutospacing="1"/>
      <w:jc w:val="center"/>
      <w:textAlignment w:val="top"/>
    </w:pPr>
    <w:rPr>
      <w:rFonts w:eastAsia="Arial Unicode MS" w:cs="Arial"/>
      <w:b/>
      <w:bCs/>
      <w:szCs w:val="24"/>
    </w:rPr>
  </w:style>
  <w:style w:type="paragraph" w:customStyle="1" w:styleId="xl59">
    <w:name w:val="xl59"/>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1">
    <w:name w:val="xl61"/>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7">
    <w:name w:val="xl67"/>
    <w:basedOn w:val="Normal"/>
    <w:pPr>
      <w:spacing w:before="100" w:beforeAutospacing="1" w:after="100" w:afterAutospacing="1"/>
      <w:jc w:val="center"/>
    </w:pPr>
    <w:rPr>
      <w:rFonts w:eastAsia="Arial Unicode MS" w:cs="Arial"/>
      <w:b/>
      <w:bCs/>
      <w:szCs w:val="24"/>
    </w:rPr>
  </w:style>
  <w:style w:type="paragraph" w:customStyle="1" w:styleId="xl68">
    <w:name w:val="xl68"/>
    <w:basedOn w:val="Normal"/>
    <w:pPr>
      <w:pBdr>
        <w:top w:val="single" w:sz="4" w:space="0" w:color="auto"/>
        <w:left w:val="single" w:sz="4" w:space="0" w:color="auto"/>
      </w:pBdr>
      <w:spacing w:before="100" w:beforeAutospacing="1" w:after="100" w:afterAutospacing="1"/>
    </w:pPr>
    <w:rPr>
      <w:rFonts w:eastAsia="Arial Unicode MS" w:cs="Arial"/>
      <w:b/>
      <w:bCs/>
      <w:sz w:val="32"/>
      <w:szCs w:val="32"/>
    </w:rPr>
  </w:style>
  <w:style w:type="paragraph" w:customStyle="1" w:styleId="xl69">
    <w:name w:val="xl69"/>
    <w:basedOn w:val="Normal"/>
    <w:pPr>
      <w:pBdr>
        <w:top w:val="single" w:sz="4" w:space="0" w:color="auto"/>
      </w:pBdr>
      <w:spacing w:before="100" w:beforeAutospacing="1" w:after="100" w:afterAutospacing="1"/>
      <w:jc w:val="center"/>
    </w:pPr>
    <w:rPr>
      <w:rFonts w:eastAsia="Arial Unicode MS" w:cs="Arial"/>
      <w:b/>
      <w:bCs/>
      <w:szCs w:val="24"/>
    </w:rPr>
  </w:style>
  <w:style w:type="paragraph" w:customStyle="1" w:styleId="xl70">
    <w:name w:val="xl70"/>
    <w:basedOn w:val="Normal"/>
    <w:pPr>
      <w:pBdr>
        <w:left w:val="single" w:sz="4" w:space="0" w:color="auto"/>
      </w:pBdr>
      <w:spacing w:before="100" w:beforeAutospacing="1" w:after="100" w:afterAutospacing="1"/>
      <w:jc w:val="center"/>
      <w:textAlignment w:val="center"/>
    </w:pPr>
    <w:rPr>
      <w:rFonts w:eastAsia="Arial Unicode MS" w:cs="Arial"/>
      <w:b/>
      <w:bCs/>
      <w:sz w:val="28"/>
      <w:szCs w:val="28"/>
    </w:rPr>
  </w:style>
  <w:style w:type="paragraph" w:customStyle="1" w:styleId="xl71">
    <w:name w:val="xl71"/>
    <w:basedOn w:val="Normal"/>
    <w:pPr>
      <w:spacing w:before="100" w:beforeAutospacing="1" w:after="100" w:afterAutospacing="1"/>
      <w:jc w:val="center"/>
      <w:textAlignment w:val="top"/>
    </w:pPr>
    <w:rPr>
      <w:rFonts w:eastAsia="Arial Unicode MS" w:cs="Arial"/>
      <w:b/>
      <w:bCs/>
      <w:szCs w:val="24"/>
    </w:rPr>
  </w:style>
  <w:style w:type="paragraph" w:customStyle="1" w:styleId="xl72">
    <w:name w:val="xl72"/>
    <w:basedOn w:val="Normal"/>
    <w:pPr>
      <w:spacing w:before="100" w:beforeAutospacing="1" w:after="100" w:afterAutospacing="1"/>
      <w:jc w:val="center"/>
    </w:pPr>
    <w:rPr>
      <w:rFonts w:eastAsia="Arial Unicode MS" w:cs="Arial"/>
      <w:szCs w:val="24"/>
    </w:rPr>
  </w:style>
  <w:style w:type="paragraph" w:customStyle="1" w:styleId="xl62">
    <w:name w:val="xl62"/>
    <w:basedOn w:val="Normal"/>
    <w:pPr>
      <w:spacing w:before="100" w:beforeAutospacing="1" w:after="100" w:afterAutospacing="1"/>
      <w:jc w:val="center"/>
      <w:textAlignment w:val="top"/>
    </w:pPr>
    <w:rPr>
      <w:rFonts w:eastAsia="Arial Unicode MS" w:cs="Arial"/>
      <w:b/>
      <w:bCs/>
      <w:szCs w:val="24"/>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4">
    <w:name w:val="xl64"/>
    <w:basedOn w:val="Normal"/>
    <w:pPr>
      <w:spacing w:before="100" w:beforeAutospacing="1" w:after="100" w:afterAutospacing="1"/>
      <w:jc w:val="center"/>
      <w:textAlignment w:val="top"/>
    </w:pPr>
    <w:rPr>
      <w:rFonts w:eastAsia="Arial Unicode MS" w:cs="Arial"/>
      <w:szCs w:val="24"/>
    </w:rPr>
  </w:style>
  <w:style w:type="paragraph" w:customStyle="1" w:styleId="xl65">
    <w:name w:val="xl65"/>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6">
    <w:name w:val="xl66"/>
    <w:basedOn w:val="Normal"/>
    <w:pPr>
      <w:pBdr>
        <w:left w:val="single" w:sz="4" w:space="0" w:color="auto"/>
        <w:right w:val="single" w:sz="4" w:space="0" w:color="auto"/>
      </w:pBdr>
      <w:spacing w:before="100" w:beforeAutospacing="1" w:after="100" w:afterAutospacing="1"/>
      <w:textAlignment w:val="top"/>
    </w:pPr>
    <w:rPr>
      <w:rFonts w:eastAsia="Arial Unicode MS" w:cs="Arial"/>
      <w:b/>
      <w:bCs/>
      <w:szCs w:val="24"/>
    </w:rPr>
  </w:style>
  <w:style w:type="character" w:styleId="FollowedHyperlink">
    <w:name w:val="FollowedHyperlink"/>
    <w:rPr>
      <w:rFonts w:ascii="Arial" w:hAnsi="Arial" w:cs="Arial"/>
      <w:color w:val="800080"/>
      <w:sz w:val="24"/>
      <w:u w:val="single"/>
      <w:lang w:val="en-GB" w:eastAsia="en-US" w:bidi="ar-SA"/>
    </w:rPr>
  </w:style>
  <w:style w:type="character" w:customStyle="1" w:styleId="WW8Num5z0">
    <w:name w:val="WW8Num5z0"/>
    <w:rPr>
      <w:rFonts w:ascii="Wingdings" w:hAnsi="Wingdings"/>
    </w:rPr>
  </w:style>
  <w:style w:type="character" w:customStyle="1" w:styleId="WW8Num4z0">
    <w:name w:val="WW8Num4z0"/>
    <w:rPr>
      <w:rFonts w:ascii="Symbol" w:hAnsi="Symbol"/>
    </w:rPr>
  </w:style>
  <w:style w:type="paragraph" w:styleId="List">
    <w:name w:val="List"/>
    <w:basedOn w:val="BodyText"/>
    <w:pPr>
      <w:suppressAutoHyphens/>
      <w:spacing w:after="120"/>
    </w:pPr>
    <w:rPr>
      <w:rFonts w:cs="Tahoma"/>
      <w:i w:val="0"/>
      <w:iCs w:val="0"/>
      <w:lang w:eastAsia="ar-SA"/>
    </w:rPr>
  </w:style>
  <w:style w:type="paragraph" w:styleId="Title">
    <w:name w:val="Title"/>
    <w:basedOn w:val="Normal"/>
    <w:qFormat/>
    <w:pPr>
      <w:suppressAutoHyphens/>
      <w:jc w:val="center"/>
    </w:pPr>
    <w:rPr>
      <w:rFonts w:cs="Arial"/>
      <w:b/>
      <w:sz w:val="28"/>
      <w:szCs w:val="28"/>
      <w:u w:val="single"/>
      <w:lang w:eastAsia="ar-SA"/>
    </w:rPr>
  </w:style>
  <w:style w:type="character" w:customStyle="1" w:styleId="WW8Num1z0">
    <w:name w:val="WW8Num1z0"/>
    <w:rPr>
      <w:rFonts w:ascii="Symbol" w:hAnsi="Symbol"/>
    </w:rPr>
  </w:style>
  <w:style w:type="paragraph" w:styleId="PlainText">
    <w:name w:val="Plain Text"/>
    <w:basedOn w:val="Normal"/>
    <w:link w:val="PlainTextChar"/>
    <w:semiHidden/>
    <w:rsid w:val="00464EC7"/>
    <w:rPr>
      <w:sz w:val="20"/>
      <w:szCs w:val="21"/>
      <w:lang w:eastAsia="en-GB"/>
    </w:rPr>
  </w:style>
  <w:style w:type="table" w:styleId="TableGrid">
    <w:name w:val="Table Grid"/>
    <w:basedOn w:val="TableNormal"/>
    <w:rsid w:val="00B4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C7E13"/>
    <w:rPr>
      <w:rFonts w:ascii="Arial" w:hAnsi="Arial"/>
      <w:sz w:val="24"/>
      <w:lang w:val="en-GB" w:eastAsia="en-US" w:bidi="ar-SA"/>
    </w:rPr>
  </w:style>
  <w:style w:type="paragraph" w:customStyle="1" w:styleId="1">
    <w:name w:val="1"/>
    <w:basedOn w:val="Normal"/>
    <w:locked/>
    <w:rsid w:val="00ED55EF"/>
    <w:pPr>
      <w:spacing w:after="160" w:line="240" w:lineRule="exact"/>
    </w:pPr>
    <w:rPr>
      <w:rFonts w:cs="Arial"/>
    </w:rPr>
  </w:style>
  <w:style w:type="paragraph" w:customStyle="1" w:styleId="CharCharCharChar2">
    <w:name w:val="Char Char Char Char2"/>
    <w:basedOn w:val="Normal"/>
    <w:locked/>
    <w:rsid w:val="000A55D4"/>
    <w:pPr>
      <w:spacing w:after="160" w:line="240" w:lineRule="exact"/>
    </w:pPr>
    <w:rPr>
      <w:rFonts w:ascii="Verdana" w:eastAsia="MS ??" w:hAnsi="Verdana" w:cs="Verdana"/>
      <w:sz w:val="20"/>
      <w:lang w:val="en-US"/>
    </w:rPr>
  </w:style>
  <w:style w:type="character" w:customStyle="1" w:styleId="CommentTextChar">
    <w:name w:val="Comment Text Char"/>
    <w:link w:val="CommentText"/>
    <w:uiPriority w:val="99"/>
    <w:semiHidden/>
    <w:rsid w:val="00033CFC"/>
    <w:rPr>
      <w:rFonts w:ascii="Arial" w:hAnsi="Arial"/>
      <w:lang w:eastAsia="en-US"/>
    </w:rPr>
  </w:style>
  <w:style w:type="paragraph" w:styleId="ListParagraph">
    <w:name w:val="List Paragraph"/>
    <w:basedOn w:val="Normal"/>
    <w:uiPriority w:val="34"/>
    <w:qFormat/>
    <w:rsid w:val="009870D0"/>
    <w:pPr>
      <w:ind w:left="720"/>
      <w:contextualSpacing/>
    </w:pPr>
  </w:style>
  <w:style w:type="paragraph" w:customStyle="1" w:styleId="CharCharCharChar">
    <w:name w:val="Char Char Char Char"/>
    <w:basedOn w:val="Normal"/>
    <w:locked/>
    <w:rsid w:val="00AC7BFC"/>
    <w:pPr>
      <w:spacing w:after="160" w:line="240" w:lineRule="exact"/>
    </w:pPr>
    <w:rPr>
      <w:rFonts w:ascii="Verdana" w:hAnsi="Verdana"/>
      <w:sz w:val="20"/>
      <w:lang w:val="en-US"/>
    </w:rPr>
  </w:style>
  <w:style w:type="paragraph" w:styleId="Revision">
    <w:name w:val="Revision"/>
    <w:hidden/>
    <w:uiPriority w:val="99"/>
    <w:semiHidden/>
    <w:rsid w:val="00554CAB"/>
    <w:rPr>
      <w:rFonts w:ascii="Arial" w:hAnsi="Arial"/>
      <w:sz w:val="24"/>
      <w:lang w:eastAsia="en-US"/>
    </w:rPr>
  </w:style>
  <w:style w:type="paragraph" w:customStyle="1" w:styleId="CharCharCharChar3">
    <w:name w:val="Char Char Char Char3"/>
    <w:basedOn w:val="Normal"/>
    <w:locked/>
    <w:rsid w:val="00484862"/>
    <w:pPr>
      <w:spacing w:after="160" w:line="240" w:lineRule="exact"/>
    </w:pPr>
    <w:rPr>
      <w:rFonts w:ascii="Verdana" w:hAnsi="Verdana"/>
      <w:sz w:val="20"/>
      <w:lang w:val="en-US"/>
    </w:rPr>
  </w:style>
  <w:style w:type="paragraph" w:customStyle="1" w:styleId="CharCharCharChar1">
    <w:name w:val="Char Char Char Char1"/>
    <w:basedOn w:val="Normal"/>
    <w:locked/>
    <w:rsid w:val="00591F00"/>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950"/>
    <w:rPr>
      <w:rFonts w:ascii="Arial" w:hAnsi="Arial"/>
      <w:sz w:val="24"/>
      <w:lang w:eastAsia="en-US"/>
    </w:rPr>
  </w:style>
  <w:style w:type="paragraph" w:styleId="Heading1">
    <w:name w:val="heading 1"/>
    <w:basedOn w:val="Heading2"/>
    <w:next w:val="Normal"/>
    <w:qFormat/>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pPr>
      <w:tabs>
        <w:tab w:val="center" w:pos="4153"/>
        <w:tab w:val="right" w:pos="8306"/>
      </w:tabs>
    </w:pPr>
  </w:style>
  <w:style w:type="paragraph" w:styleId="BodyText3">
    <w:name w:val="Body Text 3"/>
    <w:basedOn w:val="Normal"/>
    <w:pPr>
      <w:jc w:val="both"/>
    </w:pPr>
    <w:rPr>
      <w:rFonts w:cs="Arial"/>
      <w:szCs w:val="24"/>
    </w:rPr>
  </w:style>
  <w:style w:type="paragraph" w:styleId="BodyTextIndent">
    <w:name w:val="Body Text Indent"/>
    <w:basedOn w:val="Normal"/>
    <w:pPr>
      <w:ind w:left="289" w:hanging="5"/>
      <w:jc w:val="both"/>
    </w:pPr>
    <w:rPr>
      <w:rFonts w:cs="Arial"/>
      <w:szCs w:val="22"/>
    </w:rPr>
  </w:style>
  <w:style w:type="paragraph" w:customStyle="1" w:styleId="infotext0">
    <w:name w:val="infotext"/>
    <w:basedOn w:val="Normal"/>
    <w:pPr>
      <w:spacing w:before="100" w:beforeAutospacing="1" w:after="100" w:afterAutospacing="1"/>
    </w:pPr>
    <w:rPr>
      <w:rFonts w:ascii="Times New Roman" w:hAnsi="Times New Roman"/>
      <w:szCs w:val="24"/>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cs="Arial"/>
      <w:szCs w:val="24"/>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character" w:styleId="Hyperlink">
    <w:name w:val="Hyperlink"/>
    <w:rPr>
      <w:rFonts w:ascii="Arial" w:hAnsi="Arial" w:cs="Arial"/>
      <w:color w:val="0000FF"/>
      <w:sz w:val="24"/>
      <w:u w:val="single"/>
      <w:lang w:val="en-GB" w:eastAsia="en-US" w:bidi="ar-SA"/>
    </w:rPr>
  </w:style>
  <w:style w:type="paragraph" w:styleId="BodyText2">
    <w:name w:val="Body Text 2"/>
    <w:basedOn w:val="Normal"/>
    <w:pPr>
      <w:spacing w:before="90"/>
      <w:jc w:val="both"/>
    </w:pPr>
    <w:rPr>
      <w:rFonts w:cs="Arial"/>
      <w:sz w:val="20"/>
      <w:szCs w:val="22"/>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num" w:pos="374"/>
      </w:tabs>
      <w:ind w:left="374" w:hanging="374"/>
      <w:jc w:val="both"/>
    </w:pPr>
    <w:rPr>
      <w:rFonts w:cs="Arial"/>
      <w:bCs/>
    </w:rPr>
  </w:style>
  <w:style w:type="character" w:styleId="CommentReference">
    <w:name w:val="annotation reference"/>
    <w:semiHidden/>
    <w:rPr>
      <w:rFonts w:ascii="Arial" w:hAnsi="Arial" w:cs="Arial"/>
      <w:sz w:val="16"/>
      <w:szCs w:val="16"/>
      <w:lang w:val="en-GB" w:eastAsia="en-US" w:bidi="ar-SA"/>
    </w:rPr>
  </w:style>
  <w:style w:type="paragraph" w:customStyle="1" w:styleId="xl32">
    <w:name w:val="xl32"/>
    <w:basedOn w:val="Normal"/>
    <w:pPr>
      <w:pBdr>
        <w:left w:val="single" w:sz="4" w:space="0" w:color="auto"/>
      </w:pBdr>
      <w:spacing w:before="100" w:beforeAutospacing="1" w:after="100" w:afterAutospacing="1"/>
    </w:pPr>
    <w:rPr>
      <w:rFonts w:eastAsia="Arial Unicode MS" w:cs="Arial"/>
      <w:szCs w:val="24"/>
    </w:rPr>
  </w:style>
  <w:style w:type="paragraph" w:styleId="BlockText">
    <w:name w:val="Block Text"/>
    <w:basedOn w:val="Normal"/>
    <w:pPr>
      <w:ind w:left="567" w:right="141" w:hanging="567"/>
      <w:jc w:val="both"/>
    </w:pPr>
  </w:style>
  <w:style w:type="paragraph" w:customStyle="1" w:styleId="bullet4">
    <w:name w:val="bullet4"/>
    <w:basedOn w:val="Normal"/>
    <w:pPr>
      <w:numPr>
        <w:numId w:val="1"/>
      </w:numPr>
    </w:pPr>
  </w:style>
  <w:style w:type="character" w:styleId="PageNumber">
    <w:name w:val="page number"/>
    <w:basedOn w:val="DefaultParagraphFont"/>
    <w:rPr>
      <w:rFonts w:ascii="Arial" w:hAnsi="Arial" w:cs="Arial"/>
      <w:sz w:val="24"/>
      <w:lang w:val="en-GB" w:eastAsia="en-US" w:bidi="ar-SA"/>
    </w:rPr>
  </w:style>
  <w:style w:type="paragraph" w:customStyle="1" w:styleId="CharChar1Char">
    <w:name w:val="Char Char1 Char"/>
    <w:basedOn w:val="Normal"/>
    <w:pPr>
      <w:spacing w:after="160" w:line="240" w:lineRule="exact"/>
    </w:pPr>
    <w:rPr>
      <w:rFonts w:ascii="Tahoma" w:hAnsi="Tahoma"/>
      <w:sz w:val="20"/>
      <w:lang w:eastAsia="en-GB"/>
    </w:rPr>
  </w:style>
  <w:style w:type="paragraph" w:customStyle="1" w:styleId="CharChar">
    <w:name w:val="Char Char"/>
    <w:basedOn w:val="Normal"/>
    <w:rPr>
      <w:rFonts w:cs="Arial"/>
    </w:rPr>
  </w:style>
  <w:style w:type="paragraph" w:customStyle="1" w:styleId="NormalArial">
    <w:name w:val="Normal + Arial"/>
    <w:basedOn w:val="Normal"/>
    <w:pPr>
      <w:adjustRightInd w:val="0"/>
    </w:pPr>
    <w:rPr>
      <w:rFonts w:cs="Arial"/>
      <w:szCs w:val="24"/>
      <w:lang w:eastAsia="en-GB"/>
    </w:rPr>
  </w:style>
  <w:style w:type="paragraph" w:customStyle="1" w:styleId="Style1">
    <w:name w:val="Style1"/>
    <w:basedOn w:val="Normal"/>
    <w:pPr>
      <w:numPr>
        <w:numId w:val="2"/>
      </w:numPr>
      <w:tabs>
        <w:tab w:val="clear" w:pos="786"/>
      </w:tabs>
      <w:spacing w:before="120" w:after="120"/>
      <w:ind w:left="364"/>
    </w:pPr>
    <w:rPr>
      <w:rFonts w:cs="Arial"/>
      <w:szCs w:val="24"/>
    </w:rPr>
  </w:style>
  <w:style w:type="character" w:customStyle="1" w:styleId="PlainTextChar">
    <w:name w:val="Plain Text Char"/>
    <w:link w:val="PlainText"/>
    <w:semiHidden/>
    <w:locked/>
    <w:rsid w:val="00464EC7"/>
    <w:rPr>
      <w:rFonts w:ascii="Arial" w:hAnsi="Arial" w:cs="Arial"/>
      <w:sz w:val="24"/>
      <w:szCs w:val="21"/>
      <w:lang w:val="en-GB" w:eastAsia="en-GB" w:bidi="ar-SA"/>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customStyle="1" w:styleId="font6">
    <w:name w:val="font6"/>
    <w:basedOn w:val="Normal"/>
    <w:pPr>
      <w:spacing w:before="100" w:beforeAutospacing="1" w:after="100" w:afterAutospacing="1"/>
    </w:pPr>
    <w:rPr>
      <w:rFonts w:eastAsia="Arial Unicode MS" w:cs="Arial"/>
      <w:b/>
      <w:bCs/>
      <w:sz w:val="16"/>
      <w:szCs w:val="16"/>
    </w:rPr>
  </w:style>
  <w:style w:type="paragraph" w:customStyle="1" w:styleId="xl73">
    <w:name w:val="xl73"/>
    <w:basedOn w:val="Normal"/>
    <w:pPr>
      <w:spacing w:before="100" w:beforeAutospacing="1" w:after="100" w:afterAutospacing="1"/>
    </w:pPr>
    <w:rPr>
      <w:rFonts w:eastAsia="Arial Unicode MS" w:cs="Arial"/>
      <w:sz w:val="16"/>
      <w:szCs w:val="16"/>
    </w:rPr>
  </w:style>
  <w:style w:type="paragraph" w:customStyle="1" w:styleId="xl74">
    <w:name w:val="xl7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6">
    <w:name w:val="xl76"/>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8">
    <w:name w:val="xl78"/>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79">
    <w:name w:val="xl7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81">
    <w:name w:val="xl8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83">
    <w:name w:val="xl83"/>
    <w:basedOn w:val="Normal"/>
    <w:pPr>
      <w:pBdr>
        <w:left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4">
    <w:name w:val="xl84"/>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5">
    <w:name w:val="xl85"/>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87">
    <w:name w:val="xl87"/>
    <w:basedOn w:val="Normal"/>
    <w:pPr>
      <w:pBdr>
        <w:top w:val="single" w:sz="4" w:space="0" w:color="auto"/>
        <w:left w:val="single" w:sz="4" w:space="0" w:color="auto"/>
        <w:bottom w:val="single" w:sz="8" w:space="0" w:color="auto"/>
      </w:pBdr>
      <w:spacing w:before="100" w:beforeAutospacing="1" w:after="100" w:afterAutospacing="1"/>
      <w:jc w:val="right"/>
      <w:textAlignment w:val="top"/>
    </w:pPr>
    <w:rPr>
      <w:rFonts w:eastAsia="Arial Unicode MS" w:cs="Arial"/>
      <w:b/>
      <w:bCs/>
      <w:sz w:val="16"/>
      <w:szCs w:val="16"/>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89">
    <w:name w:val="xl89"/>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0">
    <w:name w:val="xl90"/>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1">
    <w:name w:val="xl9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92">
    <w:name w:val="xl92"/>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94">
    <w:name w:val="xl9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6">
    <w:name w:val="xl96"/>
    <w:basedOn w:val="Normal"/>
    <w:pPr>
      <w:spacing w:before="100" w:beforeAutospacing="1" w:after="100" w:afterAutospacing="1"/>
      <w:jc w:val="right"/>
    </w:pPr>
    <w:rPr>
      <w:rFonts w:eastAsia="Arial Unicode MS" w:cs="Arial"/>
      <w:sz w:val="16"/>
      <w:szCs w:val="16"/>
    </w:rPr>
  </w:style>
  <w:style w:type="paragraph" w:customStyle="1" w:styleId="xl97">
    <w:name w:val="xl97"/>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8">
    <w:name w:val="xl98"/>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9">
    <w:name w:val="xl9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100">
    <w:name w:val="xl10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101">
    <w:name w:val="xl101"/>
    <w:basedOn w:val="Normal"/>
    <w:pPr>
      <w:pBdr>
        <w:left w:val="single" w:sz="8"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2">
    <w:name w:val="xl102"/>
    <w:basedOn w:val="Normal"/>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103">
    <w:name w:val="xl103"/>
    <w:basedOn w:val="Normal"/>
    <w:pPr>
      <w:spacing w:before="100" w:beforeAutospacing="1" w:after="100" w:afterAutospacing="1"/>
      <w:jc w:val="right"/>
      <w:textAlignment w:val="top"/>
    </w:pPr>
    <w:rPr>
      <w:rFonts w:eastAsia="Arial Unicode MS" w:cs="Arial"/>
      <w:b/>
      <w:bCs/>
      <w:sz w:val="16"/>
      <w:szCs w:val="16"/>
    </w:rPr>
  </w:style>
  <w:style w:type="paragraph" w:customStyle="1" w:styleId="xl104">
    <w:name w:val="xl104"/>
    <w:basedOn w:val="Normal"/>
    <w:pPr>
      <w:spacing w:before="100" w:beforeAutospacing="1" w:after="100" w:afterAutospacing="1"/>
      <w:jc w:val="both"/>
      <w:textAlignment w:val="top"/>
    </w:pPr>
    <w:rPr>
      <w:rFonts w:eastAsia="Arial Unicode MS" w:cs="Arial"/>
      <w:b/>
      <w:bCs/>
      <w:sz w:val="16"/>
      <w:szCs w:val="16"/>
    </w:rPr>
  </w:style>
  <w:style w:type="paragraph" w:customStyle="1" w:styleId="xl105">
    <w:name w:val="xl105"/>
    <w:basedOn w:val="Normal"/>
    <w:pPr>
      <w:pBdr>
        <w:left w:val="single" w:sz="8" w:space="0" w:color="auto"/>
        <w:right w:val="single" w:sz="8" w:space="0" w:color="auto"/>
      </w:pBdr>
      <w:spacing w:before="100" w:beforeAutospacing="1" w:after="100" w:afterAutospacing="1"/>
      <w:textAlignment w:val="top"/>
    </w:pPr>
    <w:rPr>
      <w:rFonts w:eastAsia="Arial Unicode MS" w:cs="Arial"/>
      <w:b/>
      <w:bCs/>
      <w:sz w:val="16"/>
      <w:szCs w:val="16"/>
    </w:rPr>
  </w:style>
  <w:style w:type="paragraph" w:customStyle="1" w:styleId="xl106">
    <w:name w:val="xl106"/>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7">
    <w:name w:val="xl107"/>
    <w:basedOn w:val="Normal"/>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8">
    <w:name w:val="xl10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09">
    <w:name w:val="xl109"/>
    <w:basedOn w:val="Normal"/>
    <w:pPr>
      <w:pBdr>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1">
    <w:name w:val="xl111"/>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font7">
    <w:name w:val="font7"/>
    <w:basedOn w:val="Normal"/>
    <w:pPr>
      <w:spacing w:before="100" w:beforeAutospacing="1" w:after="100" w:afterAutospacing="1"/>
    </w:pPr>
    <w:rPr>
      <w:rFonts w:eastAsia="Arial Unicode MS" w:cs="Arial"/>
      <w:sz w:val="16"/>
      <w:szCs w:val="16"/>
    </w:rPr>
  </w:style>
  <w:style w:type="paragraph" w:customStyle="1" w:styleId="xl24">
    <w:name w:val="xl24"/>
    <w:basedOn w:val="Normal"/>
    <w:pP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37">
    <w:name w:val="xl37"/>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8">
    <w:name w:val="xl38"/>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1">
    <w:name w:val="xl41"/>
    <w:basedOn w:val="Normal"/>
    <w:pPr>
      <w:spacing w:before="100" w:beforeAutospacing="1" w:after="100" w:afterAutospacing="1"/>
      <w:jc w:val="center"/>
      <w:textAlignment w:val="top"/>
    </w:pPr>
    <w:rPr>
      <w:rFonts w:eastAsia="Arial Unicode MS" w:cs="Arial"/>
      <w:szCs w:val="24"/>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49">
    <w:name w:val="xl4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0">
    <w:name w:val="xl50"/>
    <w:basedOn w:val="Normal"/>
    <w:pPr>
      <w:pBdr>
        <w:top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51">
    <w:name w:val="xl51"/>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4">
    <w:name w:val="xl54"/>
    <w:basedOn w:val="Normal"/>
    <w:pPr>
      <w:pBdr>
        <w:left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5">
    <w:name w:val="xl55"/>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eastAsia="Arial Unicode MS" w:cs="Arial"/>
      <w:b/>
      <w:bCs/>
      <w:szCs w:val="24"/>
    </w:rPr>
  </w:style>
  <w:style w:type="paragraph" w:customStyle="1" w:styleId="xl58">
    <w:name w:val="xl58"/>
    <w:basedOn w:val="Normal"/>
    <w:pPr>
      <w:spacing w:before="100" w:beforeAutospacing="1" w:after="100" w:afterAutospacing="1"/>
      <w:jc w:val="center"/>
      <w:textAlignment w:val="top"/>
    </w:pPr>
    <w:rPr>
      <w:rFonts w:eastAsia="Arial Unicode MS" w:cs="Arial"/>
      <w:b/>
      <w:bCs/>
      <w:szCs w:val="24"/>
    </w:rPr>
  </w:style>
  <w:style w:type="paragraph" w:customStyle="1" w:styleId="xl59">
    <w:name w:val="xl59"/>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1">
    <w:name w:val="xl61"/>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7">
    <w:name w:val="xl67"/>
    <w:basedOn w:val="Normal"/>
    <w:pPr>
      <w:spacing w:before="100" w:beforeAutospacing="1" w:after="100" w:afterAutospacing="1"/>
      <w:jc w:val="center"/>
    </w:pPr>
    <w:rPr>
      <w:rFonts w:eastAsia="Arial Unicode MS" w:cs="Arial"/>
      <w:b/>
      <w:bCs/>
      <w:szCs w:val="24"/>
    </w:rPr>
  </w:style>
  <w:style w:type="paragraph" w:customStyle="1" w:styleId="xl68">
    <w:name w:val="xl68"/>
    <w:basedOn w:val="Normal"/>
    <w:pPr>
      <w:pBdr>
        <w:top w:val="single" w:sz="4" w:space="0" w:color="auto"/>
        <w:left w:val="single" w:sz="4" w:space="0" w:color="auto"/>
      </w:pBdr>
      <w:spacing w:before="100" w:beforeAutospacing="1" w:after="100" w:afterAutospacing="1"/>
    </w:pPr>
    <w:rPr>
      <w:rFonts w:eastAsia="Arial Unicode MS" w:cs="Arial"/>
      <w:b/>
      <w:bCs/>
      <w:sz w:val="32"/>
      <w:szCs w:val="32"/>
    </w:rPr>
  </w:style>
  <w:style w:type="paragraph" w:customStyle="1" w:styleId="xl69">
    <w:name w:val="xl69"/>
    <w:basedOn w:val="Normal"/>
    <w:pPr>
      <w:pBdr>
        <w:top w:val="single" w:sz="4" w:space="0" w:color="auto"/>
      </w:pBdr>
      <w:spacing w:before="100" w:beforeAutospacing="1" w:after="100" w:afterAutospacing="1"/>
      <w:jc w:val="center"/>
    </w:pPr>
    <w:rPr>
      <w:rFonts w:eastAsia="Arial Unicode MS" w:cs="Arial"/>
      <w:b/>
      <w:bCs/>
      <w:szCs w:val="24"/>
    </w:rPr>
  </w:style>
  <w:style w:type="paragraph" w:customStyle="1" w:styleId="xl70">
    <w:name w:val="xl70"/>
    <w:basedOn w:val="Normal"/>
    <w:pPr>
      <w:pBdr>
        <w:left w:val="single" w:sz="4" w:space="0" w:color="auto"/>
      </w:pBdr>
      <w:spacing w:before="100" w:beforeAutospacing="1" w:after="100" w:afterAutospacing="1"/>
      <w:jc w:val="center"/>
      <w:textAlignment w:val="center"/>
    </w:pPr>
    <w:rPr>
      <w:rFonts w:eastAsia="Arial Unicode MS" w:cs="Arial"/>
      <w:b/>
      <w:bCs/>
      <w:sz w:val="28"/>
      <w:szCs w:val="28"/>
    </w:rPr>
  </w:style>
  <w:style w:type="paragraph" w:customStyle="1" w:styleId="xl71">
    <w:name w:val="xl71"/>
    <w:basedOn w:val="Normal"/>
    <w:pPr>
      <w:spacing w:before="100" w:beforeAutospacing="1" w:after="100" w:afterAutospacing="1"/>
      <w:jc w:val="center"/>
      <w:textAlignment w:val="top"/>
    </w:pPr>
    <w:rPr>
      <w:rFonts w:eastAsia="Arial Unicode MS" w:cs="Arial"/>
      <w:b/>
      <w:bCs/>
      <w:szCs w:val="24"/>
    </w:rPr>
  </w:style>
  <w:style w:type="paragraph" w:customStyle="1" w:styleId="xl72">
    <w:name w:val="xl72"/>
    <w:basedOn w:val="Normal"/>
    <w:pPr>
      <w:spacing w:before="100" w:beforeAutospacing="1" w:after="100" w:afterAutospacing="1"/>
      <w:jc w:val="center"/>
    </w:pPr>
    <w:rPr>
      <w:rFonts w:eastAsia="Arial Unicode MS" w:cs="Arial"/>
      <w:szCs w:val="24"/>
    </w:rPr>
  </w:style>
  <w:style w:type="paragraph" w:customStyle="1" w:styleId="xl62">
    <w:name w:val="xl62"/>
    <w:basedOn w:val="Normal"/>
    <w:pPr>
      <w:spacing w:before="100" w:beforeAutospacing="1" w:after="100" w:afterAutospacing="1"/>
      <w:jc w:val="center"/>
      <w:textAlignment w:val="top"/>
    </w:pPr>
    <w:rPr>
      <w:rFonts w:eastAsia="Arial Unicode MS" w:cs="Arial"/>
      <w:b/>
      <w:bCs/>
      <w:szCs w:val="24"/>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4">
    <w:name w:val="xl64"/>
    <w:basedOn w:val="Normal"/>
    <w:pPr>
      <w:spacing w:before="100" w:beforeAutospacing="1" w:after="100" w:afterAutospacing="1"/>
      <w:jc w:val="center"/>
      <w:textAlignment w:val="top"/>
    </w:pPr>
    <w:rPr>
      <w:rFonts w:eastAsia="Arial Unicode MS" w:cs="Arial"/>
      <w:szCs w:val="24"/>
    </w:rPr>
  </w:style>
  <w:style w:type="paragraph" w:customStyle="1" w:styleId="xl65">
    <w:name w:val="xl65"/>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6">
    <w:name w:val="xl66"/>
    <w:basedOn w:val="Normal"/>
    <w:pPr>
      <w:pBdr>
        <w:left w:val="single" w:sz="4" w:space="0" w:color="auto"/>
        <w:right w:val="single" w:sz="4" w:space="0" w:color="auto"/>
      </w:pBdr>
      <w:spacing w:before="100" w:beforeAutospacing="1" w:after="100" w:afterAutospacing="1"/>
      <w:textAlignment w:val="top"/>
    </w:pPr>
    <w:rPr>
      <w:rFonts w:eastAsia="Arial Unicode MS" w:cs="Arial"/>
      <w:b/>
      <w:bCs/>
      <w:szCs w:val="24"/>
    </w:rPr>
  </w:style>
  <w:style w:type="character" w:styleId="FollowedHyperlink">
    <w:name w:val="FollowedHyperlink"/>
    <w:rPr>
      <w:rFonts w:ascii="Arial" w:hAnsi="Arial" w:cs="Arial"/>
      <w:color w:val="800080"/>
      <w:sz w:val="24"/>
      <w:u w:val="single"/>
      <w:lang w:val="en-GB" w:eastAsia="en-US" w:bidi="ar-SA"/>
    </w:rPr>
  </w:style>
  <w:style w:type="character" w:customStyle="1" w:styleId="WW8Num5z0">
    <w:name w:val="WW8Num5z0"/>
    <w:rPr>
      <w:rFonts w:ascii="Wingdings" w:hAnsi="Wingdings"/>
    </w:rPr>
  </w:style>
  <w:style w:type="character" w:customStyle="1" w:styleId="WW8Num4z0">
    <w:name w:val="WW8Num4z0"/>
    <w:rPr>
      <w:rFonts w:ascii="Symbol" w:hAnsi="Symbol"/>
    </w:rPr>
  </w:style>
  <w:style w:type="paragraph" w:styleId="List">
    <w:name w:val="List"/>
    <w:basedOn w:val="BodyText"/>
    <w:pPr>
      <w:suppressAutoHyphens/>
      <w:spacing w:after="120"/>
    </w:pPr>
    <w:rPr>
      <w:rFonts w:cs="Tahoma"/>
      <w:i w:val="0"/>
      <w:iCs w:val="0"/>
      <w:lang w:eastAsia="ar-SA"/>
    </w:rPr>
  </w:style>
  <w:style w:type="paragraph" w:styleId="Title">
    <w:name w:val="Title"/>
    <w:basedOn w:val="Normal"/>
    <w:qFormat/>
    <w:pPr>
      <w:suppressAutoHyphens/>
      <w:jc w:val="center"/>
    </w:pPr>
    <w:rPr>
      <w:rFonts w:cs="Arial"/>
      <w:b/>
      <w:sz w:val="28"/>
      <w:szCs w:val="28"/>
      <w:u w:val="single"/>
      <w:lang w:eastAsia="ar-SA"/>
    </w:rPr>
  </w:style>
  <w:style w:type="character" w:customStyle="1" w:styleId="WW8Num1z0">
    <w:name w:val="WW8Num1z0"/>
    <w:rPr>
      <w:rFonts w:ascii="Symbol" w:hAnsi="Symbol"/>
    </w:rPr>
  </w:style>
  <w:style w:type="paragraph" w:styleId="PlainText">
    <w:name w:val="Plain Text"/>
    <w:basedOn w:val="Normal"/>
    <w:link w:val="PlainTextChar"/>
    <w:semiHidden/>
    <w:rsid w:val="00464EC7"/>
    <w:rPr>
      <w:sz w:val="20"/>
      <w:szCs w:val="21"/>
      <w:lang w:eastAsia="en-GB"/>
    </w:rPr>
  </w:style>
  <w:style w:type="table" w:styleId="TableGrid">
    <w:name w:val="Table Grid"/>
    <w:basedOn w:val="TableNormal"/>
    <w:rsid w:val="00B4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C7E13"/>
    <w:rPr>
      <w:rFonts w:ascii="Arial" w:hAnsi="Arial"/>
      <w:sz w:val="24"/>
      <w:lang w:val="en-GB" w:eastAsia="en-US" w:bidi="ar-SA"/>
    </w:rPr>
  </w:style>
  <w:style w:type="paragraph" w:customStyle="1" w:styleId="1">
    <w:name w:val="1"/>
    <w:basedOn w:val="Normal"/>
    <w:locked/>
    <w:rsid w:val="00ED55EF"/>
    <w:pPr>
      <w:spacing w:after="160" w:line="240" w:lineRule="exact"/>
    </w:pPr>
    <w:rPr>
      <w:rFonts w:cs="Arial"/>
    </w:rPr>
  </w:style>
  <w:style w:type="paragraph" w:customStyle="1" w:styleId="CharCharCharChar2">
    <w:name w:val="Char Char Char Char2"/>
    <w:basedOn w:val="Normal"/>
    <w:locked/>
    <w:rsid w:val="000A55D4"/>
    <w:pPr>
      <w:spacing w:after="160" w:line="240" w:lineRule="exact"/>
    </w:pPr>
    <w:rPr>
      <w:rFonts w:ascii="Verdana" w:eastAsia="MS ??" w:hAnsi="Verdana" w:cs="Verdana"/>
      <w:sz w:val="20"/>
      <w:lang w:val="en-US"/>
    </w:rPr>
  </w:style>
  <w:style w:type="character" w:customStyle="1" w:styleId="CommentTextChar">
    <w:name w:val="Comment Text Char"/>
    <w:link w:val="CommentText"/>
    <w:uiPriority w:val="99"/>
    <w:semiHidden/>
    <w:rsid w:val="00033CFC"/>
    <w:rPr>
      <w:rFonts w:ascii="Arial" w:hAnsi="Arial"/>
      <w:lang w:eastAsia="en-US"/>
    </w:rPr>
  </w:style>
  <w:style w:type="paragraph" w:styleId="ListParagraph">
    <w:name w:val="List Paragraph"/>
    <w:basedOn w:val="Normal"/>
    <w:uiPriority w:val="34"/>
    <w:qFormat/>
    <w:rsid w:val="009870D0"/>
    <w:pPr>
      <w:ind w:left="720"/>
      <w:contextualSpacing/>
    </w:pPr>
  </w:style>
  <w:style w:type="paragraph" w:customStyle="1" w:styleId="CharCharCharChar">
    <w:name w:val="Char Char Char Char"/>
    <w:basedOn w:val="Normal"/>
    <w:locked/>
    <w:rsid w:val="00AC7BFC"/>
    <w:pPr>
      <w:spacing w:after="160" w:line="240" w:lineRule="exact"/>
    </w:pPr>
    <w:rPr>
      <w:rFonts w:ascii="Verdana" w:hAnsi="Verdana"/>
      <w:sz w:val="20"/>
      <w:lang w:val="en-US"/>
    </w:rPr>
  </w:style>
  <w:style w:type="paragraph" w:styleId="Revision">
    <w:name w:val="Revision"/>
    <w:hidden/>
    <w:uiPriority w:val="99"/>
    <w:semiHidden/>
    <w:rsid w:val="00554CAB"/>
    <w:rPr>
      <w:rFonts w:ascii="Arial" w:hAnsi="Arial"/>
      <w:sz w:val="24"/>
      <w:lang w:eastAsia="en-US"/>
    </w:rPr>
  </w:style>
  <w:style w:type="paragraph" w:customStyle="1" w:styleId="CharCharCharChar3">
    <w:name w:val="Char Char Char Char3"/>
    <w:basedOn w:val="Normal"/>
    <w:locked/>
    <w:rsid w:val="00484862"/>
    <w:pPr>
      <w:spacing w:after="160" w:line="240" w:lineRule="exact"/>
    </w:pPr>
    <w:rPr>
      <w:rFonts w:ascii="Verdana" w:hAnsi="Verdana"/>
      <w:sz w:val="20"/>
      <w:lang w:val="en-US"/>
    </w:rPr>
  </w:style>
  <w:style w:type="paragraph" w:customStyle="1" w:styleId="CharCharCharChar1">
    <w:name w:val="Char Char Char Char1"/>
    <w:basedOn w:val="Normal"/>
    <w:locked/>
    <w:rsid w:val="00591F00"/>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35">
      <w:bodyDiv w:val="1"/>
      <w:marLeft w:val="0"/>
      <w:marRight w:val="0"/>
      <w:marTop w:val="0"/>
      <w:marBottom w:val="0"/>
      <w:divBdr>
        <w:top w:val="none" w:sz="0" w:space="0" w:color="auto"/>
        <w:left w:val="none" w:sz="0" w:space="0" w:color="auto"/>
        <w:bottom w:val="none" w:sz="0" w:space="0" w:color="auto"/>
        <w:right w:val="none" w:sz="0" w:space="0" w:color="auto"/>
      </w:divBdr>
    </w:div>
    <w:div w:id="19166907">
      <w:bodyDiv w:val="1"/>
      <w:marLeft w:val="0"/>
      <w:marRight w:val="0"/>
      <w:marTop w:val="0"/>
      <w:marBottom w:val="0"/>
      <w:divBdr>
        <w:top w:val="none" w:sz="0" w:space="0" w:color="auto"/>
        <w:left w:val="none" w:sz="0" w:space="0" w:color="auto"/>
        <w:bottom w:val="none" w:sz="0" w:space="0" w:color="auto"/>
        <w:right w:val="none" w:sz="0" w:space="0" w:color="auto"/>
      </w:divBdr>
    </w:div>
    <w:div w:id="30999218">
      <w:bodyDiv w:val="1"/>
      <w:marLeft w:val="0"/>
      <w:marRight w:val="0"/>
      <w:marTop w:val="0"/>
      <w:marBottom w:val="0"/>
      <w:divBdr>
        <w:top w:val="none" w:sz="0" w:space="0" w:color="auto"/>
        <w:left w:val="none" w:sz="0" w:space="0" w:color="auto"/>
        <w:bottom w:val="none" w:sz="0" w:space="0" w:color="auto"/>
        <w:right w:val="none" w:sz="0" w:space="0" w:color="auto"/>
      </w:divBdr>
    </w:div>
    <w:div w:id="41054459">
      <w:bodyDiv w:val="1"/>
      <w:marLeft w:val="0"/>
      <w:marRight w:val="0"/>
      <w:marTop w:val="0"/>
      <w:marBottom w:val="0"/>
      <w:divBdr>
        <w:top w:val="none" w:sz="0" w:space="0" w:color="auto"/>
        <w:left w:val="none" w:sz="0" w:space="0" w:color="auto"/>
        <w:bottom w:val="none" w:sz="0" w:space="0" w:color="auto"/>
        <w:right w:val="none" w:sz="0" w:space="0" w:color="auto"/>
      </w:divBdr>
    </w:div>
    <w:div w:id="117843390">
      <w:bodyDiv w:val="1"/>
      <w:marLeft w:val="0"/>
      <w:marRight w:val="0"/>
      <w:marTop w:val="0"/>
      <w:marBottom w:val="0"/>
      <w:divBdr>
        <w:top w:val="none" w:sz="0" w:space="0" w:color="auto"/>
        <w:left w:val="none" w:sz="0" w:space="0" w:color="auto"/>
        <w:bottom w:val="none" w:sz="0" w:space="0" w:color="auto"/>
        <w:right w:val="none" w:sz="0" w:space="0" w:color="auto"/>
      </w:divBdr>
    </w:div>
    <w:div w:id="210263273">
      <w:bodyDiv w:val="1"/>
      <w:marLeft w:val="0"/>
      <w:marRight w:val="0"/>
      <w:marTop w:val="0"/>
      <w:marBottom w:val="0"/>
      <w:divBdr>
        <w:top w:val="none" w:sz="0" w:space="0" w:color="auto"/>
        <w:left w:val="none" w:sz="0" w:space="0" w:color="auto"/>
        <w:bottom w:val="none" w:sz="0" w:space="0" w:color="auto"/>
        <w:right w:val="none" w:sz="0" w:space="0" w:color="auto"/>
      </w:divBdr>
    </w:div>
    <w:div w:id="229316418">
      <w:bodyDiv w:val="1"/>
      <w:marLeft w:val="0"/>
      <w:marRight w:val="0"/>
      <w:marTop w:val="0"/>
      <w:marBottom w:val="0"/>
      <w:divBdr>
        <w:top w:val="none" w:sz="0" w:space="0" w:color="auto"/>
        <w:left w:val="none" w:sz="0" w:space="0" w:color="auto"/>
        <w:bottom w:val="none" w:sz="0" w:space="0" w:color="auto"/>
        <w:right w:val="none" w:sz="0" w:space="0" w:color="auto"/>
      </w:divBdr>
    </w:div>
    <w:div w:id="232161101">
      <w:bodyDiv w:val="1"/>
      <w:marLeft w:val="0"/>
      <w:marRight w:val="0"/>
      <w:marTop w:val="0"/>
      <w:marBottom w:val="0"/>
      <w:divBdr>
        <w:top w:val="none" w:sz="0" w:space="0" w:color="auto"/>
        <w:left w:val="none" w:sz="0" w:space="0" w:color="auto"/>
        <w:bottom w:val="none" w:sz="0" w:space="0" w:color="auto"/>
        <w:right w:val="none" w:sz="0" w:space="0" w:color="auto"/>
      </w:divBdr>
    </w:div>
    <w:div w:id="241529603">
      <w:bodyDiv w:val="1"/>
      <w:marLeft w:val="0"/>
      <w:marRight w:val="0"/>
      <w:marTop w:val="0"/>
      <w:marBottom w:val="0"/>
      <w:divBdr>
        <w:top w:val="none" w:sz="0" w:space="0" w:color="auto"/>
        <w:left w:val="none" w:sz="0" w:space="0" w:color="auto"/>
        <w:bottom w:val="none" w:sz="0" w:space="0" w:color="auto"/>
        <w:right w:val="none" w:sz="0" w:space="0" w:color="auto"/>
      </w:divBdr>
    </w:div>
    <w:div w:id="280066281">
      <w:bodyDiv w:val="1"/>
      <w:marLeft w:val="0"/>
      <w:marRight w:val="0"/>
      <w:marTop w:val="0"/>
      <w:marBottom w:val="0"/>
      <w:divBdr>
        <w:top w:val="none" w:sz="0" w:space="0" w:color="auto"/>
        <w:left w:val="none" w:sz="0" w:space="0" w:color="auto"/>
        <w:bottom w:val="none" w:sz="0" w:space="0" w:color="auto"/>
        <w:right w:val="none" w:sz="0" w:space="0" w:color="auto"/>
      </w:divBdr>
    </w:div>
    <w:div w:id="287011045">
      <w:bodyDiv w:val="1"/>
      <w:marLeft w:val="0"/>
      <w:marRight w:val="0"/>
      <w:marTop w:val="0"/>
      <w:marBottom w:val="0"/>
      <w:divBdr>
        <w:top w:val="none" w:sz="0" w:space="0" w:color="auto"/>
        <w:left w:val="none" w:sz="0" w:space="0" w:color="auto"/>
        <w:bottom w:val="none" w:sz="0" w:space="0" w:color="auto"/>
        <w:right w:val="none" w:sz="0" w:space="0" w:color="auto"/>
      </w:divBdr>
    </w:div>
    <w:div w:id="303895745">
      <w:bodyDiv w:val="1"/>
      <w:marLeft w:val="0"/>
      <w:marRight w:val="0"/>
      <w:marTop w:val="0"/>
      <w:marBottom w:val="0"/>
      <w:divBdr>
        <w:top w:val="none" w:sz="0" w:space="0" w:color="auto"/>
        <w:left w:val="none" w:sz="0" w:space="0" w:color="auto"/>
        <w:bottom w:val="none" w:sz="0" w:space="0" w:color="auto"/>
        <w:right w:val="none" w:sz="0" w:space="0" w:color="auto"/>
      </w:divBdr>
    </w:div>
    <w:div w:id="310911759">
      <w:bodyDiv w:val="1"/>
      <w:marLeft w:val="0"/>
      <w:marRight w:val="0"/>
      <w:marTop w:val="0"/>
      <w:marBottom w:val="0"/>
      <w:divBdr>
        <w:top w:val="none" w:sz="0" w:space="0" w:color="auto"/>
        <w:left w:val="none" w:sz="0" w:space="0" w:color="auto"/>
        <w:bottom w:val="none" w:sz="0" w:space="0" w:color="auto"/>
        <w:right w:val="none" w:sz="0" w:space="0" w:color="auto"/>
      </w:divBdr>
    </w:div>
    <w:div w:id="356587582">
      <w:bodyDiv w:val="1"/>
      <w:marLeft w:val="0"/>
      <w:marRight w:val="0"/>
      <w:marTop w:val="0"/>
      <w:marBottom w:val="0"/>
      <w:divBdr>
        <w:top w:val="none" w:sz="0" w:space="0" w:color="auto"/>
        <w:left w:val="none" w:sz="0" w:space="0" w:color="auto"/>
        <w:bottom w:val="none" w:sz="0" w:space="0" w:color="auto"/>
        <w:right w:val="none" w:sz="0" w:space="0" w:color="auto"/>
      </w:divBdr>
    </w:div>
    <w:div w:id="394357503">
      <w:bodyDiv w:val="1"/>
      <w:marLeft w:val="0"/>
      <w:marRight w:val="0"/>
      <w:marTop w:val="0"/>
      <w:marBottom w:val="0"/>
      <w:divBdr>
        <w:top w:val="none" w:sz="0" w:space="0" w:color="auto"/>
        <w:left w:val="none" w:sz="0" w:space="0" w:color="auto"/>
        <w:bottom w:val="none" w:sz="0" w:space="0" w:color="auto"/>
        <w:right w:val="none" w:sz="0" w:space="0" w:color="auto"/>
      </w:divBdr>
    </w:div>
    <w:div w:id="451675438">
      <w:bodyDiv w:val="1"/>
      <w:marLeft w:val="0"/>
      <w:marRight w:val="0"/>
      <w:marTop w:val="0"/>
      <w:marBottom w:val="0"/>
      <w:divBdr>
        <w:top w:val="none" w:sz="0" w:space="0" w:color="auto"/>
        <w:left w:val="none" w:sz="0" w:space="0" w:color="auto"/>
        <w:bottom w:val="none" w:sz="0" w:space="0" w:color="auto"/>
        <w:right w:val="none" w:sz="0" w:space="0" w:color="auto"/>
      </w:divBdr>
    </w:div>
    <w:div w:id="452360426">
      <w:bodyDiv w:val="1"/>
      <w:marLeft w:val="0"/>
      <w:marRight w:val="0"/>
      <w:marTop w:val="0"/>
      <w:marBottom w:val="0"/>
      <w:divBdr>
        <w:top w:val="none" w:sz="0" w:space="0" w:color="auto"/>
        <w:left w:val="none" w:sz="0" w:space="0" w:color="auto"/>
        <w:bottom w:val="none" w:sz="0" w:space="0" w:color="auto"/>
        <w:right w:val="none" w:sz="0" w:space="0" w:color="auto"/>
      </w:divBdr>
    </w:div>
    <w:div w:id="544759109">
      <w:bodyDiv w:val="1"/>
      <w:marLeft w:val="0"/>
      <w:marRight w:val="0"/>
      <w:marTop w:val="0"/>
      <w:marBottom w:val="0"/>
      <w:divBdr>
        <w:top w:val="none" w:sz="0" w:space="0" w:color="auto"/>
        <w:left w:val="none" w:sz="0" w:space="0" w:color="auto"/>
        <w:bottom w:val="none" w:sz="0" w:space="0" w:color="auto"/>
        <w:right w:val="none" w:sz="0" w:space="0" w:color="auto"/>
      </w:divBdr>
    </w:div>
    <w:div w:id="594284968">
      <w:bodyDiv w:val="1"/>
      <w:marLeft w:val="0"/>
      <w:marRight w:val="0"/>
      <w:marTop w:val="0"/>
      <w:marBottom w:val="0"/>
      <w:divBdr>
        <w:top w:val="none" w:sz="0" w:space="0" w:color="auto"/>
        <w:left w:val="none" w:sz="0" w:space="0" w:color="auto"/>
        <w:bottom w:val="none" w:sz="0" w:space="0" w:color="auto"/>
        <w:right w:val="none" w:sz="0" w:space="0" w:color="auto"/>
      </w:divBdr>
    </w:div>
    <w:div w:id="623392784">
      <w:bodyDiv w:val="1"/>
      <w:marLeft w:val="0"/>
      <w:marRight w:val="0"/>
      <w:marTop w:val="0"/>
      <w:marBottom w:val="0"/>
      <w:divBdr>
        <w:top w:val="none" w:sz="0" w:space="0" w:color="auto"/>
        <w:left w:val="none" w:sz="0" w:space="0" w:color="auto"/>
        <w:bottom w:val="none" w:sz="0" w:space="0" w:color="auto"/>
        <w:right w:val="none" w:sz="0" w:space="0" w:color="auto"/>
      </w:divBdr>
    </w:div>
    <w:div w:id="623586074">
      <w:bodyDiv w:val="1"/>
      <w:marLeft w:val="0"/>
      <w:marRight w:val="0"/>
      <w:marTop w:val="0"/>
      <w:marBottom w:val="0"/>
      <w:divBdr>
        <w:top w:val="none" w:sz="0" w:space="0" w:color="auto"/>
        <w:left w:val="none" w:sz="0" w:space="0" w:color="auto"/>
        <w:bottom w:val="none" w:sz="0" w:space="0" w:color="auto"/>
        <w:right w:val="none" w:sz="0" w:space="0" w:color="auto"/>
      </w:divBdr>
    </w:div>
    <w:div w:id="658509534">
      <w:bodyDiv w:val="1"/>
      <w:marLeft w:val="0"/>
      <w:marRight w:val="0"/>
      <w:marTop w:val="0"/>
      <w:marBottom w:val="0"/>
      <w:divBdr>
        <w:top w:val="none" w:sz="0" w:space="0" w:color="auto"/>
        <w:left w:val="none" w:sz="0" w:space="0" w:color="auto"/>
        <w:bottom w:val="none" w:sz="0" w:space="0" w:color="auto"/>
        <w:right w:val="none" w:sz="0" w:space="0" w:color="auto"/>
      </w:divBdr>
    </w:div>
    <w:div w:id="716390349">
      <w:bodyDiv w:val="1"/>
      <w:marLeft w:val="0"/>
      <w:marRight w:val="0"/>
      <w:marTop w:val="0"/>
      <w:marBottom w:val="0"/>
      <w:divBdr>
        <w:top w:val="none" w:sz="0" w:space="0" w:color="auto"/>
        <w:left w:val="none" w:sz="0" w:space="0" w:color="auto"/>
        <w:bottom w:val="none" w:sz="0" w:space="0" w:color="auto"/>
        <w:right w:val="none" w:sz="0" w:space="0" w:color="auto"/>
      </w:divBdr>
    </w:div>
    <w:div w:id="762646384">
      <w:bodyDiv w:val="1"/>
      <w:marLeft w:val="0"/>
      <w:marRight w:val="0"/>
      <w:marTop w:val="0"/>
      <w:marBottom w:val="0"/>
      <w:divBdr>
        <w:top w:val="none" w:sz="0" w:space="0" w:color="auto"/>
        <w:left w:val="none" w:sz="0" w:space="0" w:color="auto"/>
        <w:bottom w:val="none" w:sz="0" w:space="0" w:color="auto"/>
        <w:right w:val="none" w:sz="0" w:space="0" w:color="auto"/>
      </w:divBdr>
    </w:div>
    <w:div w:id="775903996">
      <w:bodyDiv w:val="1"/>
      <w:marLeft w:val="0"/>
      <w:marRight w:val="0"/>
      <w:marTop w:val="0"/>
      <w:marBottom w:val="0"/>
      <w:divBdr>
        <w:top w:val="none" w:sz="0" w:space="0" w:color="auto"/>
        <w:left w:val="none" w:sz="0" w:space="0" w:color="auto"/>
        <w:bottom w:val="none" w:sz="0" w:space="0" w:color="auto"/>
        <w:right w:val="none" w:sz="0" w:space="0" w:color="auto"/>
      </w:divBdr>
    </w:div>
    <w:div w:id="805395866">
      <w:bodyDiv w:val="1"/>
      <w:marLeft w:val="0"/>
      <w:marRight w:val="0"/>
      <w:marTop w:val="0"/>
      <w:marBottom w:val="0"/>
      <w:divBdr>
        <w:top w:val="none" w:sz="0" w:space="0" w:color="auto"/>
        <w:left w:val="none" w:sz="0" w:space="0" w:color="auto"/>
        <w:bottom w:val="none" w:sz="0" w:space="0" w:color="auto"/>
        <w:right w:val="none" w:sz="0" w:space="0" w:color="auto"/>
      </w:divBdr>
    </w:div>
    <w:div w:id="855575928">
      <w:bodyDiv w:val="1"/>
      <w:marLeft w:val="0"/>
      <w:marRight w:val="0"/>
      <w:marTop w:val="0"/>
      <w:marBottom w:val="0"/>
      <w:divBdr>
        <w:top w:val="none" w:sz="0" w:space="0" w:color="auto"/>
        <w:left w:val="none" w:sz="0" w:space="0" w:color="auto"/>
        <w:bottom w:val="none" w:sz="0" w:space="0" w:color="auto"/>
        <w:right w:val="none" w:sz="0" w:space="0" w:color="auto"/>
      </w:divBdr>
    </w:div>
    <w:div w:id="856384112">
      <w:bodyDiv w:val="1"/>
      <w:marLeft w:val="0"/>
      <w:marRight w:val="0"/>
      <w:marTop w:val="0"/>
      <w:marBottom w:val="0"/>
      <w:divBdr>
        <w:top w:val="none" w:sz="0" w:space="0" w:color="auto"/>
        <w:left w:val="none" w:sz="0" w:space="0" w:color="auto"/>
        <w:bottom w:val="none" w:sz="0" w:space="0" w:color="auto"/>
        <w:right w:val="none" w:sz="0" w:space="0" w:color="auto"/>
      </w:divBdr>
    </w:div>
    <w:div w:id="950942675">
      <w:bodyDiv w:val="1"/>
      <w:marLeft w:val="0"/>
      <w:marRight w:val="0"/>
      <w:marTop w:val="0"/>
      <w:marBottom w:val="0"/>
      <w:divBdr>
        <w:top w:val="none" w:sz="0" w:space="0" w:color="auto"/>
        <w:left w:val="none" w:sz="0" w:space="0" w:color="auto"/>
        <w:bottom w:val="none" w:sz="0" w:space="0" w:color="auto"/>
        <w:right w:val="none" w:sz="0" w:space="0" w:color="auto"/>
      </w:divBdr>
    </w:div>
    <w:div w:id="955064935">
      <w:bodyDiv w:val="1"/>
      <w:marLeft w:val="0"/>
      <w:marRight w:val="0"/>
      <w:marTop w:val="0"/>
      <w:marBottom w:val="0"/>
      <w:divBdr>
        <w:top w:val="none" w:sz="0" w:space="0" w:color="auto"/>
        <w:left w:val="none" w:sz="0" w:space="0" w:color="auto"/>
        <w:bottom w:val="none" w:sz="0" w:space="0" w:color="auto"/>
        <w:right w:val="none" w:sz="0" w:space="0" w:color="auto"/>
      </w:divBdr>
    </w:div>
    <w:div w:id="967928557">
      <w:bodyDiv w:val="1"/>
      <w:marLeft w:val="0"/>
      <w:marRight w:val="0"/>
      <w:marTop w:val="0"/>
      <w:marBottom w:val="0"/>
      <w:divBdr>
        <w:top w:val="none" w:sz="0" w:space="0" w:color="auto"/>
        <w:left w:val="none" w:sz="0" w:space="0" w:color="auto"/>
        <w:bottom w:val="none" w:sz="0" w:space="0" w:color="auto"/>
        <w:right w:val="none" w:sz="0" w:space="0" w:color="auto"/>
      </w:divBdr>
    </w:div>
    <w:div w:id="1021467773">
      <w:bodyDiv w:val="1"/>
      <w:marLeft w:val="0"/>
      <w:marRight w:val="0"/>
      <w:marTop w:val="0"/>
      <w:marBottom w:val="0"/>
      <w:divBdr>
        <w:top w:val="none" w:sz="0" w:space="0" w:color="auto"/>
        <w:left w:val="none" w:sz="0" w:space="0" w:color="auto"/>
        <w:bottom w:val="none" w:sz="0" w:space="0" w:color="auto"/>
        <w:right w:val="none" w:sz="0" w:space="0" w:color="auto"/>
      </w:divBdr>
    </w:div>
    <w:div w:id="1036393992">
      <w:bodyDiv w:val="1"/>
      <w:marLeft w:val="0"/>
      <w:marRight w:val="0"/>
      <w:marTop w:val="0"/>
      <w:marBottom w:val="0"/>
      <w:divBdr>
        <w:top w:val="none" w:sz="0" w:space="0" w:color="auto"/>
        <w:left w:val="none" w:sz="0" w:space="0" w:color="auto"/>
        <w:bottom w:val="none" w:sz="0" w:space="0" w:color="auto"/>
        <w:right w:val="none" w:sz="0" w:space="0" w:color="auto"/>
      </w:divBdr>
    </w:div>
    <w:div w:id="1067654355">
      <w:bodyDiv w:val="1"/>
      <w:marLeft w:val="0"/>
      <w:marRight w:val="0"/>
      <w:marTop w:val="0"/>
      <w:marBottom w:val="0"/>
      <w:divBdr>
        <w:top w:val="none" w:sz="0" w:space="0" w:color="auto"/>
        <w:left w:val="none" w:sz="0" w:space="0" w:color="auto"/>
        <w:bottom w:val="none" w:sz="0" w:space="0" w:color="auto"/>
        <w:right w:val="none" w:sz="0" w:space="0" w:color="auto"/>
      </w:divBdr>
    </w:div>
    <w:div w:id="1081104481">
      <w:bodyDiv w:val="1"/>
      <w:marLeft w:val="0"/>
      <w:marRight w:val="0"/>
      <w:marTop w:val="0"/>
      <w:marBottom w:val="0"/>
      <w:divBdr>
        <w:top w:val="none" w:sz="0" w:space="0" w:color="auto"/>
        <w:left w:val="none" w:sz="0" w:space="0" w:color="auto"/>
        <w:bottom w:val="none" w:sz="0" w:space="0" w:color="auto"/>
        <w:right w:val="none" w:sz="0" w:space="0" w:color="auto"/>
      </w:divBdr>
    </w:div>
    <w:div w:id="1144658054">
      <w:bodyDiv w:val="1"/>
      <w:marLeft w:val="0"/>
      <w:marRight w:val="0"/>
      <w:marTop w:val="0"/>
      <w:marBottom w:val="0"/>
      <w:divBdr>
        <w:top w:val="none" w:sz="0" w:space="0" w:color="auto"/>
        <w:left w:val="none" w:sz="0" w:space="0" w:color="auto"/>
        <w:bottom w:val="none" w:sz="0" w:space="0" w:color="auto"/>
        <w:right w:val="none" w:sz="0" w:space="0" w:color="auto"/>
      </w:divBdr>
    </w:div>
    <w:div w:id="1220626963">
      <w:bodyDiv w:val="1"/>
      <w:marLeft w:val="0"/>
      <w:marRight w:val="0"/>
      <w:marTop w:val="0"/>
      <w:marBottom w:val="0"/>
      <w:divBdr>
        <w:top w:val="none" w:sz="0" w:space="0" w:color="auto"/>
        <w:left w:val="none" w:sz="0" w:space="0" w:color="auto"/>
        <w:bottom w:val="none" w:sz="0" w:space="0" w:color="auto"/>
        <w:right w:val="none" w:sz="0" w:space="0" w:color="auto"/>
      </w:divBdr>
    </w:div>
    <w:div w:id="1239051495">
      <w:bodyDiv w:val="1"/>
      <w:marLeft w:val="0"/>
      <w:marRight w:val="0"/>
      <w:marTop w:val="0"/>
      <w:marBottom w:val="0"/>
      <w:divBdr>
        <w:top w:val="none" w:sz="0" w:space="0" w:color="auto"/>
        <w:left w:val="none" w:sz="0" w:space="0" w:color="auto"/>
        <w:bottom w:val="none" w:sz="0" w:space="0" w:color="auto"/>
        <w:right w:val="none" w:sz="0" w:space="0" w:color="auto"/>
      </w:divBdr>
    </w:div>
    <w:div w:id="1302345213">
      <w:bodyDiv w:val="1"/>
      <w:marLeft w:val="0"/>
      <w:marRight w:val="0"/>
      <w:marTop w:val="0"/>
      <w:marBottom w:val="0"/>
      <w:divBdr>
        <w:top w:val="none" w:sz="0" w:space="0" w:color="auto"/>
        <w:left w:val="none" w:sz="0" w:space="0" w:color="auto"/>
        <w:bottom w:val="none" w:sz="0" w:space="0" w:color="auto"/>
        <w:right w:val="none" w:sz="0" w:space="0" w:color="auto"/>
      </w:divBdr>
    </w:div>
    <w:div w:id="1314989197">
      <w:bodyDiv w:val="1"/>
      <w:marLeft w:val="0"/>
      <w:marRight w:val="0"/>
      <w:marTop w:val="0"/>
      <w:marBottom w:val="0"/>
      <w:divBdr>
        <w:top w:val="none" w:sz="0" w:space="0" w:color="auto"/>
        <w:left w:val="none" w:sz="0" w:space="0" w:color="auto"/>
        <w:bottom w:val="none" w:sz="0" w:space="0" w:color="auto"/>
        <w:right w:val="none" w:sz="0" w:space="0" w:color="auto"/>
      </w:divBdr>
    </w:div>
    <w:div w:id="1334644422">
      <w:bodyDiv w:val="1"/>
      <w:marLeft w:val="0"/>
      <w:marRight w:val="0"/>
      <w:marTop w:val="0"/>
      <w:marBottom w:val="0"/>
      <w:divBdr>
        <w:top w:val="none" w:sz="0" w:space="0" w:color="auto"/>
        <w:left w:val="none" w:sz="0" w:space="0" w:color="auto"/>
        <w:bottom w:val="none" w:sz="0" w:space="0" w:color="auto"/>
        <w:right w:val="none" w:sz="0" w:space="0" w:color="auto"/>
      </w:divBdr>
    </w:div>
    <w:div w:id="1336299699">
      <w:bodyDiv w:val="1"/>
      <w:marLeft w:val="0"/>
      <w:marRight w:val="0"/>
      <w:marTop w:val="0"/>
      <w:marBottom w:val="0"/>
      <w:divBdr>
        <w:top w:val="none" w:sz="0" w:space="0" w:color="auto"/>
        <w:left w:val="none" w:sz="0" w:space="0" w:color="auto"/>
        <w:bottom w:val="none" w:sz="0" w:space="0" w:color="auto"/>
        <w:right w:val="none" w:sz="0" w:space="0" w:color="auto"/>
      </w:divBdr>
    </w:div>
    <w:div w:id="1373309263">
      <w:bodyDiv w:val="1"/>
      <w:marLeft w:val="0"/>
      <w:marRight w:val="0"/>
      <w:marTop w:val="0"/>
      <w:marBottom w:val="0"/>
      <w:divBdr>
        <w:top w:val="none" w:sz="0" w:space="0" w:color="auto"/>
        <w:left w:val="none" w:sz="0" w:space="0" w:color="auto"/>
        <w:bottom w:val="none" w:sz="0" w:space="0" w:color="auto"/>
        <w:right w:val="none" w:sz="0" w:space="0" w:color="auto"/>
      </w:divBdr>
    </w:div>
    <w:div w:id="1382747875">
      <w:bodyDiv w:val="1"/>
      <w:marLeft w:val="0"/>
      <w:marRight w:val="0"/>
      <w:marTop w:val="0"/>
      <w:marBottom w:val="0"/>
      <w:divBdr>
        <w:top w:val="none" w:sz="0" w:space="0" w:color="auto"/>
        <w:left w:val="none" w:sz="0" w:space="0" w:color="auto"/>
        <w:bottom w:val="none" w:sz="0" w:space="0" w:color="auto"/>
        <w:right w:val="none" w:sz="0" w:space="0" w:color="auto"/>
      </w:divBdr>
    </w:div>
    <w:div w:id="1401519029">
      <w:bodyDiv w:val="1"/>
      <w:marLeft w:val="0"/>
      <w:marRight w:val="0"/>
      <w:marTop w:val="0"/>
      <w:marBottom w:val="0"/>
      <w:divBdr>
        <w:top w:val="none" w:sz="0" w:space="0" w:color="auto"/>
        <w:left w:val="none" w:sz="0" w:space="0" w:color="auto"/>
        <w:bottom w:val="none" w:sz="0" w:space="0" w:color="auto"/>
        <w:right w:val="none" w:sz="0" w:space="0" w:color="auto"/>
      </w:divBdr>
    </w:div>
    <w:div w:id="1404722845">
      <w:bodyDiv w:val="1"/>
      <w:marLeft w:val="0"/>
      <w:marRight w:val="0"/>
      <w:marTop w:val="0"/>
      <w:marBottom w:val="0"/>
      <w:divBdr>
        <w:top w:val="none" w:sz="0" w:space="0" w:color="auto"/>
        <w:left w:val="none" w:sz="0" w:space="0" w:color="auto"/>
        <w:bottom w:val="none" w:sz="0" w:space="0" w:color="auto"/>
        <w:right w:val="none" w:sz="0" w:space="0" w:color="auto"/>
      </w:divBdr>
    </w:div>
    <w:div w:id="1415514247">
      <w:bodyDiv w:val="1"/>
      <w:marLeft w:val="0"/>
      <w:marRight w:val="0"/>
      <w:marTop w:val="0"/>
      <w:marBottom w:val="0"/>
      <w:divBdr>
        <w:top w:val="none" w:sz="0" w:space="0" w:color="auto"/>
        <w:left w:val="none" w:sz="0" w:space="0" w:color="auto"/>
        <w:bottom w:val="none" w:sz="0" w:space="0" w:color="auto"/>
        <w:right w:val="none" w:sz="0" w:space="0" w:color="auto"/>
      </w:divBdr>
    </w:div>
    <w:div w:id="1417362181">
      <w:bodyDiv w:val="1"/>
      <w:marLeft w:val="0"/>
      <w:marRight w:val="0"/>
      <w:marTop w:val="0"/>
      <w:marBottom w:val="0"/>
      <w:divBdr>
        <w:top w:val="none" w:sz="0" w:space="0" w:color="auto"/>
        <w:left w:val="none" w:sz="0" w:space="0" w:color="auto"/>
        <w:bottom w:val="none" w:sz="0" w:space="0" w:color="auto"/>
        <w:right w:val="none" w:sz="0" w:space="0" w:color="auto"/>
      </w:divBdr>
    </w:div>
    <w:div w:id="1422143617">
      <w:bodyDiv w:val="1"/>
      <w:marLeft w:val="0"/>
      <w:marRight w:val="0"/>
      <w:marTop w:val="0"/>
      <w:marBottom w:val="0"/>
      <w:divBdr>
        <w:top w:val="none" w:sz="0" w:space="0" w:color="auto"/>
        <w:left w:val="none" w:sz="0" w:space="0" w:color="auto"/>
        <w:bottom w:val="none" w:sz="0" w:space="0" w:color="auto"/>
        <w:right w:val="none" w:sz="0" w:space="0" w:color="auto"/>
      </w:divBdr>
    </w:div>
    <w:div w:id="1496067017">
      <w:bodyDiv w:val="1"/>
      <w:marLeft w:val="0"/>
      <w:marRight w:val="0"/>
      <w:marTop w:val="0"/>
      <w:marBottom w:val="0"/>
      <w:divBdr>
        <w:top w:val="none" w:sz="0" w:space="0" w:color="auto"/>
        <w:left w:val="none" w:sz="0" w:space="0" w:color="auto"/>
        <w:bottom w:val="none" w:sz="0" w:space="0" w:color="auto"/>
        <w:right w:val="none" w:sz="0" w:space="0" w:color="auto"/>
      </w:divBdr>
    </w:div>
    <w:div w:id="1500267337">
      <w:bodyDiv w:val="1"/>
      <w:marLeft w:val="0"/>
      <w:marRight w:val="0"/>
      <w:marTop w:val="0"/>
      <w:marBottom w:val="0"/>
      <w:divBdr>
        <w:top w:val="none" w:sz="0" w:space="0" w:color="auto"/>
        <w:left w:val="none" w:sz="0" w:space="0" w:color="auto"/>
        <w:bottom w:val="none" w:sz="0" w:space="0" w:color="auto"/>
        <w:right w:val="none" w:sz="0" w:space="0" w:color="auto"/>
      </w:divBdr>
    </w:div>
    <w:div w:id="1540580457">
      <w:bodyDiv w:val="1"/>
      <w:marLeft w:val="0"/>
      <w:marRight w:val="0"/>
      <w:marTop w:val="0"/>
      <w:marBottom w:val="0"/>
      <w:divBdr>
        <w:top w:val="none" w:sz="0" w:space="0" w:color="auto"/>
        <w:left w:val="none" w:sz="0" w:space="0" w:color="auto"/>
        <w:bottom w:val="none" w:sz="0" w:space="0" w:color="auto"/>
        <w:right w:val="none" w:sz="0" w:space="0" w:color="auto"/>
      </w:divBdr>
    </w:div>
    <w:div w:id="1559171231">
      <w:bodyDiv w:val="1"/>
      <w:marLeft w:val="0"/>
      <w:marRight w:val="0"/>
      <w:marTop w:val="0"/>
      <w:marBottom w:val="0"/>
      <w:divBdr>
        <w:top w:val="none" w:sz="0" w:space="0" w:color="auto"/>
        <w:left w:val="none" w:sz="0" w:space="0" w:color="auto"/>
        <w:bottom w:val="none" w:sz="0" w:space="0" w:color="auto"/>
        <w:right w:val="none" w:sz="0" w:space="0" w:color="auto"/>
      </w:divBdr>
    </w:div>
    <w:div w:id="1570727045">
      <w:bodyDiv w:val="1"/>
      <w:marLeft w:val="0"/>
      <w:marRight w:val="0"/>
      <w:marTop w:val="0"/>
      <w:marBottom w:val="0"/>
      <w:divBdr>
        <w:top w:val="none" w:sz="0" w:space="0" w:color="auto"/>
        <w:left w:val="none" w:sz="0" w:space="0" w:color="auto"/>
        <w:bottom w:val="none" w:sz="0" w:space="0" w:color="auto"/>
        <w:right w:val="none" w:sz="0" w:space="0" w:color="auto"/>
      </w:divBdr>
    </w:div>
    <w:div w:id="1583248507">
      <w:bodyDiv w:val="1"/>
      <w:marLeft w:val="0"/>
      <w:marRight w:val="0"/>
      <w:marTop w:val="0"/>
      <w:marBottom w:val="0"/>
      <w:divBdr>
        <w:top w:val="none" w:sz="0" w:space="0" w:color="auto"/>
        <w:left w:val="none" w:sz="0" w:space="0" w:color="auto"/>
        <w:bottom w:val="none" w:sz="0" w:space="0" w:color="auto"/>
        <w:right w:val="none" w:sz="0" w:space="0" w:color="auto"/>
      </w:divBdr>
    </w:div>
    <w:div w:id="1627002653">
      <w:bodyDiv w:val="1"/>
      <w:marLeft w:val="0"/>
      <w:marRight w:val="0"/>
      <w:marTop w:val="0"/>
      <w:marBottom w:val="0"/>
      <w:divBdr>
        <w:top w:val="none" w:sz="0" w:space="0" w:color="auto"/>
        <w:left w:val="none" w:sz="0" w:space="0" w:color="auto"/>
        <w:bottom w:val="none" w:sz="0" w:space="0" w:color="auto"/>
        <w:right w:val="none" w:sz="0" w:space="0" w:color="auto"/>
      </w:divBdr>
    </w:div>
    <w:div w:id="1662542170">
      <w:bodyDiv w:val="1"/>
      <w:marLeft w:val="0"/>
      <w:marRight w:val="0"/>
      <w:marTop w:val="0"/>
      <w:marBottom w:val="0"/>
      <w:divBdr>
        <w:top w:val="none" w:sz="0" w:space="0" w:color="auto"/>
        <w:left w:val="none" w:sz="0" w:space="0" w:color="auto"/>
        <w:bottom w:val="none" w:sz="0" w:space="0" w:color="auto"/>
        <w:right w:val="none" w:sz="0" w:space="0" w:color="auto"/>
      </w:divBdr>
    </w:div>
    <w:div w:id="1684674035">
      <w:bodyDiv w:val="1"/>
      <w:marLeft w:val="0"/>
      <w:marRight w:val="0"/>
      <w:marTop w:val="0"/>
      <w:marBottom w:val="0"/>
      <w:divBdr>
        <w:top w:val="none" w:sz="0" w:space="0" w:color="auto"/>
        <w:left w:val="none" w:sz="0" w:space="0" w:color="auto"/>
        <w:bottom w:val="none" w:sz="0" w:space="0" w:color="auto"/>
        <w:right w:val="none" w:sz="0" w:space="0" w:color="auto"/>
      </w:divBdr>
    </w:div>
    <w:div w:id="1715538046">
      <w:bodyDiv w:val="1"/>
      <w:marLeft w:val="0"/>
      <w:marRight w:val="0"/>
      <w:marTop w:val="0"/>
      <w:marBottom w:val="0"/>
      <w:divBdr>
        <w:top w:val="none" w:sz="0" w:space="0" w:color="auto"/>
        <w:left w:val="none" w:sz="0" w:space="0" w:color="auto"/>
        <w:bottom w:val="none" w:sz="0" w:space="0" w:color="auto"/>
        <w:right w:val="none" w:sz="0" w:space="0" w:color="auto"/>
      </w:divBdr>
    </w:div>
    <w:div w:id="1787233430">
      <w:bodyDiv w:val="1"/>
      <w:marLeft w:val="0"/>
      <w:marRight w:val="0"/>
      <w:marTop w:val="0"/>
      <w:marBottom w:val="0"/>
      <w:divBdr>
        <w:top w:val="none" w:sz="0" w:space="0" w:color="auto"/>
        <w:left w:val="none" w:sz="0" w:space="0" w:color="auto"/>
        <w:bottom w:val="none" w:sz="0" w:space="0" w:color="auto"/>
        <w:right w:val="none" w:sz="0" w:space="0" w:color="auto"/>
      </w:divBdr>
    </w:div>
    <w:div w:id="1799644083">
      <w:bodyDiv w:val="1"/>
      <w:marLeft w:val="0"/>
      <w:marRight w:val="0"/>
      <w:marTop w:val="0"/>
      <w:marBottom w:val="0"/>
      <w:divBdr>
        <w:top w:val="none" w:sz="0" w:space="0" w:color="auto"/>
        <w:left w:val="none" w:sz="0" w:space="0" w:color="auto"/>
        <w:bottom w:val="none" w:sz="0" w:space="0" w:color="auto"/>
        <w:right w:val="none" w:sz="0" w:space="0" w:color="auto"/>
      </w:divBdr>
    </w:div>
    <w:div w:id="1812089405">
      <w:bodyDiv w:val="1"/>
      <w:marLeft w:val="0"/>
      <w:marRight w:val="0"/>
      <w:marTop w:val="0"/>
      <w:marBottom w:val="0"/>
      <w:divBdr>
        <w:top w:val="none" w:sz="0" w:space="0" w:color="auto"/>
        <w:left w:val="none" w:sz="0" w:space="0" w:color="auto"/>
        <w:bottom w:val="none" w:sz="0" w:space="0" w:color="auto"/>
        <w:right w:val="none" w:sz="0" w:space="0" w:color="auto"/>
      </w:divBdr>
    </w:div>
    <w:div w:id="1837767776">
      <w:bodyDiv w:val="1"/>
      <w:marLeft w:val="0"/>
      <w:marRight w:val="0"/>
      <w:marTop w:val="0"/>
      <w:marBottom w:val="0"/>
      <w:divBdr>
        <w:top w:val="none" w:sz="0" w:space="0" w:color="auto"/>
        <w:left w:val="none" w:sz="0" w:space="0" w:color="auto"/>
        <w:bottom w:val="none" w:sz="0" w:space="0" w:color="auto"/>
        <w:right w:val="none" w:sz="0" w:space="0" w:color="auto"/>
      </w:divBdr>
    </w:div>
    <w:div w:id="1890653241">
      <w:bodyDiv w:val="1"/>
      <w:marLeft w:val="0"/>
      <w:marRight w:val="0"/>
      <w:marTop w:val="0"/>
      <w:marBottom w:val="0"/>
      <w:divBdr>
        <w:top w:val="none" w:sz="0" w:space="0" w:color="auto"/>
        <w:left w:val="none" w:sz="0" w:space="0" w:color="auto"/>
        <w:bottom w:val="none" w:sz="0" w:space="0" w:color="auto"/>
        <w:right w:val="none" w:sz="0" w:space="0" w:color="auto"/>
      </w:divBdr>
    </w:div>
    <w:div w:id="1915507412">
      <w:bodyDiv w:val="1"/>
      <w:marLeft w:val="0"/>
      <w:marRight w:val="0"/>
      <w:marTop w:val="0"/>
      <w:marBottom w:val="0"/>
      <w:divBdr>
        <w:top w:val="none" w:sz="0" w:space="0" w:color="auto"/>
        <w:left w:val="none" w:sz="0" w:space="0" w:color="auto"/>
        <w:bottom w:val="none" w:sz="0" w:space="0" w:color="auto"/>
        <w:right w:val="none" w:sz="0" w:space="0" w:color="auto"/>
      </w:divBdr>
    </w:div>
    <w:div w:id="1921326064">
      <w:bodyDiv w:val="1"/>
      <w:marLeft w:val="0"/>
      <w:marRight w:val="0"/>
      <w:marTop w:val="0"/>
      <w:marBottom w:val="0"/>
      <w:divBdr>
        <w:top w:val="none" w:sz="0" w:space="0" w:color="auto"/>
        <w:left w:val="none" w:sz="0" w:space="0" w:color="auto"/>
        <w:bottom w:val="none" w:sz="0" w:space="0" w:color="auto"/>
        <w:right w:val="none" w:sz="0" w:space="0" w:color="auto"/>
      </w:divBdr>
    </w:div>
    <w:div w:id="1947075305">
      <w:bodyDiv w:val="1"/>
      <w:marLeft w:val="0"/>
      <w:marRight w:val="0"/>
      <w:marTop w:val="0"/>
      <w:marBottom w:val="0"/>
      <w:divBdr>
        <w:top w:val="none" w:sz="0" w:space="0" w:color="auto"/>
        <w:left w:val="none" w:sz="0" w:space="0" w:color="auto"/>
        <w:bottom w:val="none" w:sz="0" w:space="0" w:color="auto"/>
        <w:right w:val="none" w:sz="0" w:space="0" w:color="auto"/>
      </w:divBdr>
    </w:div>
    <w:div w:id="1950695037">
      <w:bodyDiv w:val="1"/>
      <w:marLeft w:val="0"/>
      <w:marRight w:val="0"/>
      <w:marTop w:val="0"/>
      <w:marBottom w:val="0"/>
      <w:divBdr>
        <w:top w:val="none" w:sz="0" w:space="0" w:color="auto"/>
        <w:left w:val="none" w:sz="0" w:space="0" w:color="auto"/>
        <w:bottom w:val="none" w:sz="0" w:space="0" w:color="auto"/>
        <w:right w:val="none" w:sz="0" w:space="0" w:color="auto"/>
      </w:divBdr>
    </w:div>
    <w:div w:id="1991053919">
      <w:bodyDiv w:val="1"/>
      <w:marLeft w:val="0"/>
      <w:marRight w:val="0"/>
      <w:marTop w:val="0"/>
      <w:marBottom w:val="0"/>
      <w:divBdr>
        <w:top w:val="none" w:sz="0" w:space="0" w:color="auto"/>
        <w:left w:val="none" w:sz="0" w:space="0" w:color="auto"/>
        <w:bottom w:val="none" w:sz="0" w:space="0" w:color="auto"/>
        <w:right w:val="none" w:sz="0" w:space="0" w:color="auto"/>
      </w:divBdr>
    </w:div>
    <w:div w:id="2033411957">
      <w:bodyDiv w:val="1"/>
      <w:marLeft w:val="0"/>
      <w:marRight w:val="0"/>
      <w:marTop w:val="0"/>
      <w:marBottom w:val="0"/>
      <w:divBdr>
        <w:top w:val="none" w:sz="0" w:space="0" w:color="auto"/>
        <w:left w:val="none" w:sz="0" w:space="0" w:color="auto"/>
        <w:bottom w:val="none" w:sz="0" w:space="0" w:color="auto"/>
        <w:right w:val="none" w:sz="0" w:space="0" w:color="auto"/>
      </w:divBdr>
    </w:div>
    <w:div w:id="2036415959">
      <w:bodyDiv w:val="1"/>
      <w:marLeft w:val="0"/>
      <w:marRight w:val="0"/>
      <w:marTop w:val="0"/>
      <w:marBottom w:val="0"/>
      <w:divBdr>
        <w:top w:val="none" w:sz="0" w:space="0" w:color="auto"/>
        <w:left w:val="none" w:sz="0" w:space="0" w:color="auto"/>
        <w:bottom w:val="none" w:sz="0" w:space="0" w:color="auto"/>
        <w:right w:val="none" w:sz="0" w:space="0" w:color="auto"/>
      </w:divBdr>
    </w:div>
    <w:div w:id="2063480417">
      <w:bodyDiv w:val="1"/>
      <w:marLeft w:val="0"/>
      <w:marRight w:val="0"/>
      <w:marTop w:val="0"/>
      <w:marBottom w:val="0"/>
      <w:divBdr>
        <w:top w:val="none" w:sz="0" w:space="0" w:color="auto"/>
        <w:left w:val="none" w:sz="0" w:space="0" w:color="auto"/>
        <w:bottom w:val="none" w:sz="0" w:space="0" w:color="auto"/>
        <w:right w:val="none" w:sz="0" w:space="0" w:color="auto"/>
      </w:divBdr>
    </w:div>
    <w:div w:id="2100323004">
      <w:bodyDiv w:val="1"/>
      <w:marLeft w:val="0"/>
      <w:marRight w:val="0"/>
      <w:marTop w:val="0"/>
      <w:marBottom w:val="0"/>
      <w:divBdr>
        <w:top w:val="none" w:sz="0" w:space="0" w:color="auto"/>
        <w:left w:val="none" w:sz="0" w:space="0" w:color="auto"/>
        <w:bottom w:val="none" w:sz="0" w:space="0" w:color="auto"/>
        <w:right w:val="none" w:sz="0" w:space="0" w:color="auto"/>
      </w:divBdr>
    </w:div>
    <w:div w:id="2100439989">
      <w:bodyDiv w:val="1"/>
      <w:marLeft w:val="0"/>
      <w:marRight w:val="0"/>
      <w:marTop w:val="0"/>
      <w:marBottom w:val="0"/>
      <w:divBdr>
        <w:top w:val="none" w:sz="0" w:space="0" w:color="auto"/>
        <w:left w:val="none" w:sz="0" w:space="0" w:color="auto"/>
        <w:bottom w:val="none" w:sz="0" w:space="0" w:color="auto"/>
        <w:right w:val="none" w:sz="0" w:space="0" w:color="auto"/>
      </w:divBdr>
    </w:div>
    <w:div w:id="2146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derngov:8080/documents/g62621/Public%20reports%20pack%20Thursday%2018-Feb-2016%2018.30%20Cabinet.pdf?T=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derngov:8080/documents/g62621/Public%20reports%20pack%20Thursday%2018-Feb-2016%2018.30%20Cabinet.pdf?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B05C-245C-427E-B5CC-4C3A2B08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7160</Words>
  <Characters>38143</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45213</CharactersWithSpaces>
  <SharedDoc>false</SharedDoc>
  <HLinks>
    <vt:vector size="12" baseType="variant">
      <vt:variant>
        <vt:i4>3997821</vt:i4>
      </vt:variant>
      <vt:variant>
        <vt:i4>3</vt:i4>
      </vt:variant>
      <vt:variant>
        <vt:i4>0</vt:i4>
      </vt:variant>
      <vt:variant>
        <vt:i4>5</vt:i4>
      </vt:variant>
      <vt:variant>
        <vt:lpwstr>http://moderngov:8080/ieListDocuments.aspx?CId=249&amp;MId=61076&amp;Ver=4</vt:lpwstr>
      </vt:variant>
      <vt:variant>
        <vt:lpwstr/>
      </vt:variant>
      <vt:variant>
        <vt:i4>3735673</vt:i4>
      </vt:variant>
      <vt:variant>
        <vt:i4>0</vt:i4>
      </vt:variant>
      <vt:variant>
        <vt:i4>0</vt:i4>
      </vt:variant>
      <vt:variant>
        <vt:i4>5</vt:i4>
      </vt:variant>
      <vt:variant>
        <vt:lpwstr>http://moderngov:8080/ieListDocuments.aspx?CId=249&amp;MId=61436&amp;Ver=4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Dawn Calvert</dc:creator>
  <cp:lastModifiedBy>Daksha Ghelani</cp:lastModifiedBy>
  <cp:revision>6</cp:revision>
  <cp:lastPrinted>2016-06-06T07:32:00Z</cp:lastPrinted>
  <dcterms:created xsi:type="dcterms:W3CDTF">2016-06-06T09:48:00Z</dcterms:created>
  <dcterms:modified xsi:type="dcterms:W3CDTF">2016-06-06T13:55:00Z</dcterms:modified>
</cp:coreProperties>
</file>